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Learning Disability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Learning Disability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r w:rsidRPr="2030048C" w:rsidR="71C545CA">
              <w:rPr>
                <w:rFonts w:ascii="Arial" w:eastAsia="Arial" w:hAnsi="Arial" w:cs="Arial"/>
                <w:b w:val="0"/>
                <w:bCs w:val="0"/>
                <w:sz w:val="24"/>
                <w:szCs w:val="24"/>
                <w:lang w:val="en-GB"/>
              </w:rPr>
              <w:t>These awards do not enable the student to register with the NMC.</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UFNLD1NLD77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retain zero credit modules.</w:t>
            </w:r>
          </w:p>
          <w:p w:rsidR="5D711985" w:rsidRPr="158602C4" w:rsidP="158602C4">
            <w:pPr>
              <w:shd w:val="clear" w:color="auto" w:fill="FFFFFE"/>
              <w:spacing w:before="0" w:beforeAutospacing="0" w:after="0" w:afterAutospacing="0" w:line="285" w:lineRule="auto"/>
              <w:ind w:left="72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have a single element of assessment for 30-credit module</w:t>
            </w:r>
          </w:p>
          <w:p w:rsidR="5D711985" w:rsidRPr="158602C4" w:rsidP="158602C4">
            <w:pPr>
              <w:shd w:val="clear" w:color="auto" w:fill="FFFFFE"/>
              <w:spacing w:before="0" w:beforeAutospacing="0" w:after="0" w:afterAutospacing="0" w:line="285" w:lineRule="auto"/>
              <w:ind w:left="72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be exempted from the 15-credit Apply module for 2026/27</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tbl>
            <w:tblPr>
              <w:tblStyle w:val="MsoTableGrid"/>
              <w:tblCellSpacing w:w="15" w:type="dxa"/>
              <w:tblCellMar>
                <w:top w:w="15" w:type="dxa"/>
                <w:left w:w="15" w:type="dxa"/>
                <w:bottom w:w="15" w:type="dxa"/>
                <w:right w:w="15" w:type="dxa"/>
              </w:tblCellMar>
              <w:tblLook w:val="05E0"/>
            </w:tblPr>
            <w:tblGrid>
              <w:gridCol w:w="6885"/>
            </w:tblGrid>
            <w:tr>
              <w:tblPrEx>
                <w:tblLook w:val="05E0"/>
              </w:tblPrEx>
              <w:tc>
                <w:tcPr>
                  <w:noWrap w:val="0"/>
                  <w:tcMar>
                    <w:top w:w="15" w:type="dxa"/>
                    <w:left w:w="15" w:type="dxa"/>
                    <w:bottom w:w="15" w:type="dxa"/>
                    <w:right w:w="15" w:type="dxa"/>
                  </w:tcMar>
                  <w:vAlign w:val="center"/>
                  <w:hideMark/>
                </w:tcPr>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appropriate employment, normally working 37.5 hours per week</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Where applicable, a ‘Right to Work’ covering the full length of the course and end point assessment (3 years 2 months).</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the point of entry onto the course, applicants for the apprenticeship route must be employed within a health or care setting where they can be appropriately supervised by a registered nurse or other appropriate registered health or social care professional.</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who meet the minimum requirements are required to attend an interview which includes questions focused on: their motivations to study nursing, their rationale for choosing children’s nursing, their understanding of the role of the nurse and the values and attributes required by nurses. This provides a link between the admissions processes and the NMC Code (2018)  and a values-based approach to selection that allows applicants to demonstrate their understanding of nursing and the skills and knowledge they feel they will bring to a nursing course at Kingston University. The application interview has been designed to be inclusive.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 part of the admissions process applicants will be asked to complete an Initial Needs Assessment to confirm whether they have undertaken previous certificated learning that</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repeats learning offered by the Registered Nurse Degree.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declaration is a requirement for all apprenticeship applicants, as duplication of learning or assessment previously undertaken is not eligible for apprenticeship funding under the Education and Skills Funding Agency rules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(ESFA, 2018)</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Recognition of Prior Learning (RPL) will be considered including applicants with a relevant Foundation Degree (e.g. Nursing Associate, Healthcare Practice) for up to a maximum of 50% of the programme. </w:t>
                  </w:r>
                </w:p>
              </w:tc>
            </w:tr>
          </w:tbl>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The EPAO is Kingston University as this is an integrated End Point Assessment.</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contemporary, digitally enhanced, evidence-based nursing education which meets the needs of</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people who use services and local health and social care employers.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accountable, safe, compassionate and resilient practitioners who demonstrate professional attitudes and behaviours consistent with the </w:t>
      </w:r>
      <w:hyperlink r:id="rId9" w:history="1">
        <w:r w:rsidRPr="2030048C">
          <w:rPr>
            <w:rStyle w:val="normaltextrun"/>
            <w:rFonts w:ascii="Arial" w:hAnsi="Arial" w:cs="Arial"/>
            <w:color w:val="000000" w:themeColor="text1"/>
            <w:sz w:val="24"/>
            <w:szCs w:val="24"/>
            <w:shd w:val="clear" w:color="auto" w:fill="FFFFFF"/>
          </w:rPr>
          <w:t xml:space="preserve">NMC Code (2018) </w:t>
        </w:r>
      </w:hyperlink>
      <w:r w:rsidRPr="2030048C">
        <w:rPr>
          <w:rStyle w:val="normaltextrun"/>
          <w:rFonts w:ascii="Arial" w:hAnsi="Arial" w:cs="Arial"/>
          <w:i/>
          <w:iCs/>
          <w:color w:val="000000"/>
          <w:sz w:val="24"/>
          <w:szCs w:val="24"/>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provide care in a digital health environment in which technology is used to enhance the care and experiences of people who use services.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identify and critically appraise secondary and primary sources as a basis for independent study, evidence-based practice and implementation and improvement science.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apply research and evidence to the care of people across a range of health and social care environments taking account of the contextual factors that may affect this.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for employment in nursing, research, further study and lifelong learning by developing their </w:t>
      </w:r>
      <w:hyperlink r:id="rId10" w:history="1">
        <w:r w:rsidRPr="2030048C">
          <w:rPr>
            <w:rStyle w:val="normaltextrun"/>
            <w:rFonts w:ascii="Arial" w:hAnsi="Arial" w:cs="Arial"/>
            <w:color w:val="000000" w:themeColor="text1"/>
            <w:sz w:val="24"/>
            <w:szCs w:val="24"/>
            <w:shd w:val="clear" w:color="auto" w:fill="FFFFFF"/>
          </w:rPr>
          <w:t>Future Skills</w:t>
        </w:r>
      </w:hyperlink>
      <w:r w:rsidRPr="2030048C">
        <w:rPr>
          <w:rStyle w:val="normaltextrun"/>
          <w:rFonts w:ascii="Arial" w:hAnsi="Arial" w:cs="Arial"/>
          <w:color w:val="000000"/>
          <w:sz w:val="24"/>
          <w:szCs w:val="24"/>
          <w:shd w:val="clear" w:color="auto" w:fill="FFFFFF"/>
        </w:rPr>
        <w:t xml:space="preserve"> and enabling them to develop their graduate attributes.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in</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the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capabilities, knowledge and skills to enable autonomous nursing practice at the point of registration.</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meet the knowledge, skills and behaviours required for the registered nurse degree apprenticeship.</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integrate British values within their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learning disabilities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reflective, adaptable, compassionate, skilled and confident learning disabilities registrant, with the ability to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 on clinical experience to make evidence informed decisions across all areas of their practice as a learning disabilities nurse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learning disabilities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learner and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learning disabilities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learning disabilities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learning disabilities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continuous improvement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learning disabilities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Learning Disability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Disability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learning disability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NL4200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Health and Wellbeing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Learning Disability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and Wellbeing of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Providing and Evaluating Evidence Based Care with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Health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Learning Disability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learning disabilities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learning disability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a minimum of 60 credits at level 6 are eligible for the award of an Ordinary Bachelor degree in Health and Wellbeing but will not be eligible to register with the Nursing and Midwifery Council. A student who is awarded an Ordinary degree having followed an honours programme: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for the award of the degree with distinction </w:t>
      </w:r>
    </w:p>
    <w:p w:rsidR="6DF80A31" w:rsidRPr="2030048C" w:rsidP="2030048C">
      <w:pPr>
        <w:numPr>
          <w:ilvl w:val="0"/>
          <w:numId w:val="18"/>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to register subsequently and be assessed for an honours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a BSc (Hons) Learning Disabilities Nursing AND be eligible to register with the Nursing and Midwifery Council (NMC) students must have completed and passed all modules (120 credits at levels 4, 5 and 6) and course requirements and have completed a minimum of 2300 hours of theory and 2300 hours of practice and have met the (NMC) requirements for Good Health and Good Character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where the Student Attendance Policy (AP15) is invoked, and a decision is made to withdraw the student from the programme due to non-engagement with practice.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This additional placement does not require an assessment but must be completed before a student can be considered for award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 xml:space="preserve">Student Advocate to provide additional pastoral and academic support to students </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Student Voice Committee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 xml:space="preserve">Nursing and Midwifery Council Annual Reporting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 xml:space="preserve">Key Account meetings with practice placement partners </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Apprenticeship Operations and Compliance Group meeting</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Apprenticeship Partnership Committee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 xml:space="preserve">Faculty service user strategy </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51"/>
        <w:gridCol w:w="220"/>
        <w:gridCol w:w="548"/>
        <w:gridCol w:w="556"/>
        <w:gridCol w:w="556"/>
        <w:gridCol w:w="555"/>
        <w:gridCol w:w="1"/>
        <w:gridCol w:w="556"/>
        <w:gridCol w:w="556"/>
        <w:gridCol w:w="548"/>
        <w:gridCol w:w="548"/>
        <w:gridCol w:w="553"/>
        <w:gridCol w:w="3"/>
        <w:gridCol w:w="548"/>
        <w:gridCol w:w="556"/>
        <w:gridCol w:w="548"/>
        <w:gridCol w:w="556"/>
        <w:gridCol w:w="55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hyperlink" Target="https://www.kingston.ac.uk/aboutkingstonuniversity/future-skills/"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nmc.org.uk/globalassets/sitedocuments/nmc-publications/nmc-code.pdfhttps:/www.nmc.org.uk/globalassets/sitedocuments/nmc-publications/nmc-code.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B0C4357-37DA-48BD-8B2B-0CCBFD783D8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