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Healthcare Practice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21/08/2025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and King's Academy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Healthcare Practice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Healthcare Practice (only available to students topping up from a KU Level 5 qualification)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UPHCP1HCP10</w:t>
            </w: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Modules on BSc (Hons) Healthcare Practice delivered by King's Academy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and King's Academy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and King's Academy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Independent/Supplementary Prescribing for Nurses and Midwives module is approved by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Up to 6 x 15 credit modules will be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All modules must be passed without compensation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2"/>
          <w:szCs w:val="22"/>
          <w:shd w:val="clear" w:color="auto" w:fill="FFFFFF"/>
        </w:rPr>
        <w:t>The overall aims of the BSc (Hons) and BSc programme are to</w:t>
      </w:r>
      <w:r w:rsidRPr="2030048C">
        <w:rPr>
          <w:rStyle w:val="normaltextrun"/>
          <w:rFonts w:ascii="Arial" w:hAnsi="Arial" w:cs="Arial"/>
          <w:color w:val="000000" w:themeColor="text1"/>
          <w:sz w:val="22"/>
          <w:szCs w:val="22"/>
          <w:shd w:val="clear" w:color="auto" w:fill="FFFFFF"/>
        </w:rPr>
        <w:t>:  </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1.  Foster life-long personal and professional development in order to produce knowledgeable, skilled and reflective healthcare practitioners.</w:t>
      </w:r>
    </w:p>
    <w:p w:rsidRPr="2030048C" w:rsidP="2030048C">
      <w:pPr>
        <w:pStyle w:val="MsoBodyTextInden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2. Produce a flexible educational programme, which reflects contemporary healthcare provision and meets the needs of students, service users and healthcare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ind w:left="570"/>
        <w:jc w:val="both"/>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programme learning outcomes are the high-level learning outcomes that will have been achieved by all students receiving this award. They have been aligned to the levels set out in ‘Sector Recognised Standards in England’ (OFS 2022).</w:t>
      </w:r>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The course outcomes are referenced to the Frameworks for Higher Education Qualifications of UK Degree-Awarding Bodies (2024) and relate to the typical student. </w:t>
      </w:r>
      <w:r w:rsidRPr="2030048C">
        <w:rPr>
          <w:rStyle w:val="normaltextrun"/>
          <w:rFonts w:ascii="Arial" w:eastAsia="Arial" w:hAnsi="Arial" w:cs="Arial"/>
          <w:b w:val="0"/>
          <w:bCs w:val="0"/>
          <w:color w:val="000000" w:themeColor="text1" w:themeShade="FF" w:themeTint="FF"/>
          <w:sz w:val="22"/>
          <w:szCs w:val="22"/>
        </w:rPr>
        <w:t>The course provides opportunities for students to develop and demonstrate knowledge </w:t>
      </w:r>
      <w:r w:rsidRPr="2030048C">
        <w:rPr>
          <w:rStyle w:val="normaltextrun"/>
          <w:rFonts w:ascii="Arial" w:eastAsia="Arial" w:hAnsi="Arial" w:cs="Arial"/>
          <w:b w:val="0"/>
          <w:bCs w:val="0"/>
          <w:color w:val="000000" w:themeColor="text1" w:themeShade="FF" w:themeTint="FF"/>
          <w:sz w:val="24"/>
          <w:szCs w:val="24"/>
        </w:rPr>
        <w:t>and understanding specific to the subject, key skills and graduate attributes in the following areas: Students undertaking the BSc (Hons) are expected to meet these outcomes in full.  Students undertaking the BSc (ordinary degree) are not expected to meet Learning Outcome B2.</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9"/>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systematic understanding of the  defined area of healthcare practice, including awareness of wider socio-political, financial and cultural influences.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reasoning and decision–making skills to complex and unfamiliar healthcare contexts, in order to deliver flexible, high quality, collaborative, person centred-care.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incorporate a critical ethical/ professional dimension into decision 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appreciate the wider ethical, legal and professional perspectives of healthcare.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Understand research principles, design and methods relevant to healthcare practice, and the application of these in the development of a detailed review of evidence which supports a relevant, practice-based service improvement. </w:t>
            </w:r>
          </w:p>
          <w:p w:rsidR="3A9B68BE" w:rsidRPr="2030048C" w:rsidP="2030048C">
            <w:pPr>
              <w:rPr>
                <w:rStyle w:val="normaltextrun"/>
                <w:rFonts w:ascii="Arial" w:eastAsia="Arial" w:hAnsi="Arial" w:cs="Arial"/>
                <w:color w:val="000000"/>
                <w:sz w:val="24"/>
                <w:szCs w:val="24"/>
                <w:shd w:val="clear" w:color="auto" w:fill="FFFFFF"/>
                <w:lang w:val="en-GB"/>
              </w:rPr>
            </w:pP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Only for those undertaking Core module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self-direct their own personal and professional development, based on the application of critical enquiry, reflective practice and appraisal of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act as a professional role model, apply the principles of effective leadership, and explore strategies to enhance service delivery.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specialist clinical skills to a defined area of healthcare provision.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The</w:t>
      </w:r>
      <w:r w:rsidRPr="2030048C">
        <w:rPr>
          <w:rFonts w:ascii="Arial" w:eastAsia="Arial" w:hAnsi="Arial" w:cs="Arial"/>
          <w:color w:val="000000"/>
          <w:sz w:val="16"/>
          <w:szCs w:val="16"/>
        </w:rPr>
        <w:t> </w:t>
      </w:r>
      <w:r w:rsidRPr="2030048C">
        <w:rPr>
          <w:rFonts w:ascii="Arial" w:eastAsia="Arial" w:hAnsi="Arial" w:cs="Arial"/>
          <w:color w:val="000000"/>
          <w:sz w:val="24"/>
          <w:szCs w:val="24"/>
        </w:rPr>
        <w:t xml:space="preserve"> ‘Option Modules’ for teaching block 1 and 2 could be undertaken from the mixture of modules offered in the module diet by Kingston University and/or King’s Academy.  To complete the 120 credit and to exit with BSc (Hons) Healthcare Practice award, the student must undertake the core module, BSc Honours Service Improvement Project (NW6034), delivered by Kingston University.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Note: As per </w:t>
      </w:r>
      <w:hyperlink r:id="rId10" w:anchor="blockid21000" w:history="1">
        <w:r w:rsidRPr="2030048C">
          <w:rPr>
            <w:rFonts w:ascii="Arial" w:eastAsia="Arial" w:hAnsi="Arial" w:cs="Arial"/>
            <w:color w:val="000000"/>
            <w:sz w:val="24"/>
            <w:szCs w:val="24"/>
          </w:rPr>
          <w:t>GR5</w:t>
        </w:r>
      </w:hyperlink>
      <w:r w:rsidRPr="2030048C">
        <w:rPr>
          <w:rFonts w:ascii="Arial" w:eastAsia="Arial" w:hAnsi="Arial" w:cs="Arial"/>
          <w:color w:val="000000"/>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Healthcare Practice</w:t>
      </w:r>
    </w:p>
    <w:p w:rsidR="008B5CAF" w:rsidRPr="008B5CAF" w:rsidP="008B5CAF" w14:paraId="22073769" w14:textId="77777777">
      <w:pPr>
        <w:rPr>
          <w:rFonts w:eastAsia="Arial"/>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Healthcare Practice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NW5020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n/a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Healthcare Practice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BSc Honours Service Improvement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NW6034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12 lead ECG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Academic Skills Development for Healthcare Professionals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Acutely Unwell Adult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Polytrauma: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Assessment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Adult Critical Care: Patient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Anaesthetic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Neonatal Pathophysiology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Cardiac Arrhythmias: Interpretation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Cardiac Care: Patient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Clinical Reasoning in Health Assessment: Lifespan Perspectives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Emergency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Examination of the Newborn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Foundations in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which specifically includes the following : • be NMC registered nurses or midwives, or HCPC registered professionals. • be employed in a neonatal setting for the duration of the programme. Most learners should commence a pathway to QIS completion shortly after their employment within a neonatal setting.</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High Dependency Neonatal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Independent/Supplementary Prescribing for Nurses and Midwives (V300)</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Illness: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Minor Injury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and Transitional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Perinatal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 and 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5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Post-Anaesthetic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5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Professional Advocate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Respiratory Care for the Acute Setting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Specialist Neonatal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Programme Entry Requirements including: • be NMC registered nurses or midwives, or HCPC registered professionals. • be employed in a neonatal setting for the duration of the programme.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Theatre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Trauma Care: Initial Assessment 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15C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30C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 Based Learning – 60C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Work-based Learning – Employer Commissioned (Bespoke)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NW6615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Working with Families, Carers and Significant Others in Mental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(Hons) Healthcare Practice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6 credits are eligible for the award of BSc (Hons) Healthcare Practice. This award comprises 90 free-choice credits at level 6 delivered by Kingston University and/or King’s Academy and completion of the BSc Honours Service Improvement Project module (30 credits) delivered by Kingston University.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*Ordinary Bachelor’s Degree (BSc Healthcare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enrolled on the BSc Healthcare Practice who are “topping up” from a Kingston University award are eligible for the award of BSc Healthcare Practice. This award comprises 60 free-choice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intermediate award of BSc Healthcare Practice is available those students who are “topping up” from a Kingston University award at DipHE/ FD level for students who fail to achieve the honours threshold or who wish to step off the BSc (Hons) Healthcare Practice programme.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BSc Honours Service Improvement Project module is a core compulsory module for those students wishing to complete the full BSc (Hons) and is the final module taken once students have completed 90 credits at level 6. These 90 credits could be undertaken from the choice of modules delivered by Kingston University and the King’s Academy. The module enables students to develop their understanding of a variety of research methods, to competently critique contemporary research evidence in a literature review and to plan a service improvement project which is relevant to the student’s sphere of practice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Modules on BSc (Hons) Healthcare Practice delivered by King's Academy</w:t>
      </w:r>
    </w:p>
    <w:p w:rsidR="008B5CAF" w:rsidRPr="008B5CAF" w:rsidP="008B5CAF" w14:textId="77777777">
      <w:pPr>
        <w:rPr>
          <w:rFonts w:eastAsia="Arial"/>
        </w:rPr>
      </w:pPr>
    </w:p>
    <w:p w:rsidR="035B6837" w:rsidP="2030048C"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Modules on BSc (Hons) Healthcare Practice delivered by King's Academy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73614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C37987F">
            <w:pPr>
              <w:jc w:val="center"/>
              <w:rPr>
                <w:rFonts w:ascii="Arial" w:eastAsia="Arial" w:hAnsi="Arial" w:cs="Arial"/>
                <w:sz w:val="24"/>
                <w:szCs w:val="24"/>
              </w:rPr>
            </w:pPr>
          </w:p>
        </w:tc>
      </w:tr>
      <w:tr w14:paraId="4893116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Debriefing in Healthcare Simulation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Design and Delivery of Healthcare Simulation-Based Education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Professional, or someone with relevant healthcare simulation experience.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Developing Skills and Knowledge for Holistic Care of Cystic Fibrosis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practitioners</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6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Haematological malignancies: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6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7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Liver Disorders: Developing knowledge and Skills for practice (online delivery)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7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Intensive 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NW6042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Registered healthcare practitioner Registered Nurses who have completed a neonatal SCBU/HDU course Applicants must be working on a Level 3 Unit or have access to a placement on the same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7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Neonatal Special Care and High Dependency: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r w14:paraId="4893117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Older people’s care: Developing knowledge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NW6050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or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textId="1812B43E">
      <w:pPr>
        <w:rPr>
          <w:rFonts w:ascii="Arial" w:eastAsia="Arial" w:hAnsi="Arial" w:cs="Arial"/>
          <w:color w:val="0070C0"/>
          <w:sz w:val="24"/>
          <w:szCs w:val="24"/>
        </w:rPr>
      </w:pPr>
    </w:p>
    <w:p w:rsidR="6DF80A31" w:rsidRPr="2030048C" w:rsidP="2030048C"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(Hons) Healthcare Practice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6 credits are eligible for the award of BSc (Hons) Healthcare Practice. This award comprises 90 free-choice credits at level 6 delivered by Kingston University and/or King’s Academy and completion of the BSc Honours Service Improvement Project module (30 credits) delivered by Kingston University..</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BSc Healthcare Practice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enrolled on the BSc Healthcare Practice who are “topping up” from a Kingston University award are eligible for the award of BSc Healthcare Practice. This award comprises 60 free-choice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intermediate award of BSc Healthcare Practice is available those students who are “topping up” from a Kingston University award at DipHE/ FD level for students who fail to achieve the honours threshold or who wish to step off the BSc (Hons) Healthcare Practice programme.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BSc Honours Service Improvement Project module is a core compulsory module for those students wishing to complete the full BSc (Hons) and is the final module taken once students have completed 90 credits at level 6. These 90 credits could be undertaken from the choice of modules delivered by Kingston University and the King’s Academy. The module enables students to develop their understanding of a variety of research methods, to competently critique contemporary research evidence in a literature review and to plan a service improvement project which is relevant to the student’s sphere of practice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w:t>
      </w:r>
      <w:r w:rsidRPr="2030048C">
        <w:rPr>
          <w:rFonts w:ascii="Arial" w:eastAsia="Arial" w:hAnsi="Arial" w:cs="Arial"/>
          <w:sz w:val="24"/>
          <w:szCs w:val="24"/>
        </w:rPr>
        <w:t>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Most of the modules offered within the programme are also available at level 7, enabling students from both academic levels to be co-taught. This approach expands learner diversity and the range of professional practice settings which course participants are from, enriches the learning exchange between participants and widens learner networking opportunities. This is particularly relevant for the highly specialist modules where recruitment numbers are naturally small. Teaching and learning strategies of co-taught modules are tailored to meet the needs of learners, taking into consideration the spread of prior academic achievement. Lecturers in the teaching team have extensive experience of co-teaching level 6 and level 7 modules and learning activities are based on an inclusive, no deficit teaching approach which encourages learners to share experiences, and to work together to problem solve. Students at level 6 will have access to level 6 Canvas (VLE) learning resources and students at level 7 will have access to level 7 Canvas learning resources. Each Canvas module will have a specifically tailored section to signpost students to learning strategies to help them succeed in the module.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rPr>
          <w:rFonts w:ascii="Arial" w:eastAsia="Arial" w:hAnsi="Arial" w:cs="Arial"/>
          <w:sz w:val="24"/>
          <w:szCs w:val="24"/>
        </w:rPr>
      </w:pPr>
      <w:r w:rsidRPr="2030048C">
        <w:rPr>
          <w:rFonts w:ascii="Arial" w:eastAsia="Arial" w:hAnsi="Arial" w:cs="Arial"/>
          <w:b/>
          <w:bCs/>
          <w:sz w:val="24"/>
          <w:szCs w:val="24"/>
        </w:rPr>
        <w:t>Support for Students and their Learning: Kings Academy</w:t>
      </w:r>
      <w:r w:rsidRPr="2030048C">
        <w:rPr>
          <w:rFonts w:ascii="Arial" w:eastAsia="Arial" w:hAnsi="Arial" w:cs="Arial"/>
          <w:sz w:val="22"/>
          <w:szCs w:val="22"/>
        </w:rPr>
        <w:t> </w:t>
      </w:r>
    </w:p>
    <w:p w:rsidRPr="2030048C" w:rsidP="2030048C">
      <w:pPr>
        <w:rPr>
          <w:rFonts w:ascii="Arial" w:eastAsia="Arial" w:hAnsi="Arial" w:cs="Arial"/>
          <w:sz w:val="24"/>
          <w:szCs w:val="24"/>
        </w:rPr>
      </w:pPr>
      <w:r w:rsidRPr="2030048C">
        <w:rPr>
          <w:rFonts w:ascii="Arial" w:eastAsia="Arial" w:hAnsi="Arial" w:cs="Arial"/>
          <w:sz w:val="24"/>
          <w:szCs w:val="24"/>
        </w:rPr>
        <w:t>King’s College Hospital has its own well-established Library and corresponding services. The Library at King’s College Hospital provides support for those preparing to study for staff /students who require a refresher or are new to studying the UK.  The team are responsive to the students’ needs and the package includes: </w:t>
      </w:r>
    </w:p>
    <w:p w:rsidRPr="2030048C" w:rsidP="2030048C">
      <w:pPr>
        <w:rPr>
          <w:rFonts w:ascii="Arial" w:eastAsia="Arial" w:hAnsi="Arial" w:cs="Arial"/>
          <w:sz w:val="24"/>
          <w:szCs w:val="24"/>
        </w:rPr>
      </w:pPr>
      <w:r w:rsidRPr="2030048C">
        <w:rPr>
          <w:rFonts w:ascii="Arial" w:eastAsia="Arial" w:hAnsi="Arial" w:cs="Arial"/>
          <w:sz w:val="24"/>
          <w:szCs w:val="24"/>
        </w:rPr>
        <w:t>  ·       Study planning and time management </w:t>
      </w:r>
    </w:p>
    <w:p w:rsidRPr="2030048C" w:rsidP="2030048C">
      <w:pPr>
        <w:rPr>
          <w:rFonts w:ascii="Arial" w:eastAsia="Arial" w:hAnsi="Arial" w:cs="Arial"/>
          <w:sz w:val="24"/>
          <w:szCs w:val="24"/>
        </w:rPr>
      </w:pPr>
      <w:r w:rsidRPr="2030048C">
        <w:rPr>
          <w:rFonts w:ascii="Arial" w:eastAsia="Arial" w:hAnsi="Arial" w:cs="Arial"/>
          <w:sz w:val="24"/>
          <w:szCs w:val="24"/>
        </w:rPr>
        <w:t>·       Reading and note-taking strategies </w:t>
      </w:r>
    </w:p>
    <w:p w:rsidRPr="2030048C" w:rsidP="2030048C">
      <w:pPr>
        <w:rPr>
          <w:rFonts w:ascii="Arial" w:eastAsia="Arial" w:hAnsi="Arial" w:cs="Arial"/>
          <w:sz w:val="24"/>
          <w:szCs w:val="24"/>
        </w:rPr>
      </w:pPr>
      <w:r w:rsidRPr="2030048C">
        <w:rPr>
          <w:rFonts w:ascii="Arial" w:eastAsia="Arial" w:hAnsi="Arial" w:cs="Arial"/>
          <w:sz w:val="24"/>
          <w:szCs w:val="24"/>
        </w:rPr>
        <w:t>·       Evaluating information sources </w:t>
      </w:r>
    </w:p>
    <w:p w:rsidRPr="2030048C" w:rsidP="2030048C">
      <w:pPr>
        <w:rPr>
          <w:rFonts w:ascii="Arial" w:eastAsia="Arial" w:hAnsi="Arial" w:cs="Arial"/>
          <w:sz w:val="24"/>
          <w:szCs w:val="24"/>
        </w:rPr>
      </w:pPr>
      <w:r w:rsidRPr="2030048C">
        <w:rPr>
          <w:rFonts w:ascii="Arial" w:eastAsia="Arial" w:hAnsi="Arial" w:cs="Arial"/>
          <w:sz w:val="24"/>
          <w:szCs w:val="24"/>
        </w:rPr>
        <w:t>·       Essay writing structure and style </w:t>
      </w:r>
    </w:p>
    <w:p w:rsidRPr="2030048C" w:rsidP="2030048C">
      <w:pPr>
        <w:rPr>
          <w:rFonts w:ascii="Arial" w:eastAsia="Arial" w:hAnsi="Arial" w:cs="Arial"/>
          <w:sz w:val="24"/>
          <w:szCs w:val="24"/>
        </w:rPr>
      </w:pPr>
      <w:r w:rsidRPr="2030048C">
        <w:rPr>
          <w:rFonts w:ascii="Arial" w:eastAsia="Arial" w:hAnsi="Arial" w:cs="Arial"/>
          <w:sz w:val="24"/>
          <w:szCs w:val="24"/>
        </w:rPr>
        <w:t>·       Referencing and avoiding plagiarism </w:t>
      </w:r>
    </w:p>
    <w:p w:rsidRPr="2030048C" w:rsidP="2030048C">
      <w:pPr>
        <w:rPr>
          <w:rFonts w:ascii="Arial" w:eastAsia="Arial" w:hAnsi="Arial" w:cs="Arial"/>
          <w:sz w:val="24"/>
          <w:szCs w:val="24"/>
        </w:rPr>
      </w:pPr>
      <w:r w:rsidRPr="2030048C">
        <w:rPr>
          <w:rFonts w:ascii="Arial" w:eastAsia="Arial" w:hAnsi="Arial" w:cs="Arial"/>
          <w:sz w:val="24"/>
          <w:szCs w:val="24"/>
        </w:rPr>
        <w:t> All King’s Academy enrolled students have access to a VLE platform called LEAP that has been developed to meet the needs of the students and will closely mirror Kingston University’s (KU) Canvas platform. All learning material, interactive sessions, submission of work, quality reporting and communication results will be housed in LEAP. TURNITIN has been purchased and is being utilised for all academic submissions. </w:t>
      </w:r>
    </w:p>
    <w:p w:rsidRPr="2030048C" w:rsidP="2030048C">
      <w:pPr>
        <w:rPr>
          <w:rFonts w:ascii="Arial" w:eastAsia="Arial" w:hAnsi="Arial" w:cs="Arial"/>
          <w:sz w:val="24"/>
          <w:szCs w:val="24"/>
        </w:rPr>
      </w:pPr>
      <w:r w:rsidRPr="2030048C">
        <w:rPr>
          <w:rFonts w:ascii="Arial" w:eastAsia="Arial" w:hAnsi="Arial" w:cs="Arial"/>
          <w:sz w:val="24"/>
          <w:szCs w:val="24"/>
        </w:rPr>
        <w:t>Students with disabilities will be signposted to online resources and given additional support as required.</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NW6033 Independent / Supplementary Prescribing for Nurses and Midwives meet the PSRB requirements.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7"/>
        <w:gridCol w:w="368"/>
        <w:gridCol w:w="99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NW6034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Indent2">
    <w:name w:val="MsoBodyTextInden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hyperlink" Target="https://www.kingston.ac.uk/aboutkingstonuniversity/howtheuniversityworks/policiesandregulations/" TargetMode="Externa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D3BABDF-E693-4E7D-82D0-B50E773077A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