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Education: Special Educational Needs, Inclusion and Wellbeing (Distance Learning)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09/01/2026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27/04/2026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Education: Special Educational Needs, Inclusion and Wellbeing (Distance Learning)</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Education: Special Educational Needs, Inclusion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Education: Special Educational Needs, Inclusion and Wellbeing (Distance Learning)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Education: Special Educational Needs, Inclusion and Wellbeing (Distance Learning)</w:t>
            </w: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UOSIW1SIW20</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Distance Learning</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4: Fully online (100%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retain zero credit modules, to deliver teaching in TB3 and to be exempted from the requirement for one element of assessment per 15 credits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BA (Hons) Education: Special Educational Needs, Inclusion and Wellbeing is a distance learning course and provides students with comprehensive opportunities to gain and apply their knowledge and expertise of special educational needs, inclusion and wellbeing within professional practice. The aims of the course are to enable students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in-depth knowledge about education-related subjects with a focus on special educational needs, inclusion and wellbeing and the implications for professional practice, informed by current policy, scholarship, and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Engage families and communities responsibly and accountably, utilising effective communication and interpersonal skills within professional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Gain proficiency in research methodology, including ethical considerations, data collection, analysis, and interpretation through the evaluation of existing research and application of research skills within a range of educational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independent, reflective, and self-critical learners capable of managing their own professional development needs.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lifelong learning skills that pursue knowledge, values, competencies, and abilities necessary to pursue sustainable future visions that contribute professionally to positive change.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and enhance problem-solving skills by utilising a broad range of digital technologies in complex and unpredictable professional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Advocate for inclusive and differentiated approaches within educational contexts, empowering students to become agents of change in their communities.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Use evidence-based strategies to enhance learning using online collaborative platforms that address the needs of diverse learners.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Explore the policies and legislation that govern digital citizenship and safe use of technology within educational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Become proficient at engaging in a digital learning community that engages in multiple forms of collaborative learning to enhance subject knowledge, personal and professional development.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exceptional understanding of the field of Education and its interrelationship with other fields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confidence in the evaluation of an extensive range of evidence to substantiate reasoned argument and reflection that informs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communication of specialist information for diverse and purposeful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specialist knowledge from the field of Special Educational Needs, Inclusion and Wellbeing to national and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demonstrate creativity and innovation by generating original ideas, based on academic engagement, and application of complex problem-solving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multi-professional and multi-agency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and critically analyse legislation, policy and frameworks which pertain to education practice with a focus on Special Educational Needs, Inclusion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the application of knowledge and skills that test concepts and generate solutions towards unpredictable outcomes or circumstances, taking well- informed and well-judged risks.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and develop selected interpersonal, team and networking skills to enhance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advocate, and apply principles of sustainability to make informed decisions that drive professional practices that benefit the environment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digital competence by effectively utilising digital tools and technologies to enhance professional practice, solve complex problems, and communicate ideas innovatively.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design, and develop specialist projects and/or activities to enhance specific areas of own and/or others learning, work or practice through personal and professional initiative.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Outline of Distance Learning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is a work-based learning programme, so students will engage with module teaching alongside their workplace experience. Students will bring their workplace learning into their studies and their study learning into their workplace. Students will also learn through distinct types of distance learning activities, which include asynchronous and synchronous lectures, seminars, tutorials, and workshops which will all be delivered online.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At the start of the course students will complete an online induction via Canvas. At the end of each session, student’s understanding will be assessed through a range of methods.  As the sessions are offered sequentially to build students understanding and awareness of explicit elements that support their success as distance learners, they are required to complete the course material progressively.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Engagement with induction training sessions is mandatory and only upon completion of these sessions are students able to access subsequent learning materials.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structure delivers each 30-credit module sequentially (condensed) over eight teaching weeks. Teaching is delivered through a combination of asynchronous and synchronous learning. Synchronous teaching will occur over two sessions in each module. These synchronous sessions will be recorded and made available for students that are unable to attend.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Personal and Professional Development 1.</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Personal and Professional Development 2.</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Work-based experience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every module, students are also expected to engage in a work experience setting that provides educational opportunities or input for children or young people, for a minimum of 16 hours per week. The nature of work experience within these settings may be one of the following or a combination of these professional engagement formats: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Paid employment.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Voluntary work.</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Formal placement.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experience.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work-based settings will be audited during the admissions process to ensure compliance with course requirements. To be considered an appropriate context for work-based experience, the setting must meet the following criteria: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Registered Status</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The setting must be a formally registered organisation, charity, movement, or institution. This must be verifiable through a registration number or equivalent identifier. Please see the Work-based Learning Partnership Agreement for further information.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term ‘appropriate setting’ within the entry requirements is intentionally broad to reflect the diverse contexts in which students may be working. It includes, but is not limited to:</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Schools (primary, secondary, special education)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Nursery settings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Childminders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Museums and heritage education programmes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Scout or Guide placements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Community learning environments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Youth work or informal education settings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Charities or clubs that run activities for children and young people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Hospital volunteers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inclusive approach supports the course’s global reach and ensures that students can engage in meaningful professional practice wherever they are based.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Educational Provision</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The setting must offer meaningful educational experiences. It should enable the student to actively contribute and be supported in developing the skills, knowledge, attitudes, and behaviours required to become an effective pedagogue. Students will be required to upload documents to support their engagement with the work-based setting.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Critical Professional Advocate (CPA)</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The setting must identify a named, experienced staff member who will act as the student’s Critical Professional Advocate (CPA). This individual will receive asynchronous training from the university to support the student’s development and engagement on the course. In the event that a student is unable to identify a suitable CPA, the University will provide one from its national and international professional networks, and if the University is unable to provide one, the academic tutor will assume the CPA role.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Assessment Opportunities</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The setting must allow the student to undertake course related assessment tasks and observations, in alignment with the academic requirements of the course. There is no requirement for the setting to administer assessments.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Change in work-based learning experience circumstances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If a student has a change in their work-based learning experience circumstance during the course, we will ensure they are not disadvantaged. While resolving the issue may take time, affected students will be supported through structured scenarios and tasks aligned with the module’s learning outcomes, ensuring continuity and fulfilment of required learning hours.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Progression between levels: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permits the trailing of 30 credits from one level to the next. The outstanding 30 credits can be trailed into the next level and must be passed before being able to progress any further. For example, 30 credits from level 4 can be trailed into level 5 but must be passed before being able to progress to level 6. 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Education: Special Educational Needs, Inclusion and Wellbeing (Distance Learning)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Special Educational Needs, Inclusion and Wellbeing (Distance Learning)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Development Theories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DL4001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Education for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DL4003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Effective practice in the field of special educational needs and inclusion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DL4012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DL4000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Education: Special Educational Needs, Inclusion and Wellbeing.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Education: Special Educational Needs, Inclusion and Wellbeing (Distance Learning)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Children's Rights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DL5001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Equality, Diversity and Inclusion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DL5003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DL5000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Understanding Mental Health and Wellbeing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DL5012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Education: Special Educational Needs, Inclusion and Wellbeing.</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Special Educational Needs, Inclusion and Wellbeing (Distance Learning)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supporting Health and Wellbeing in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DL6011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Effective Inclusive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DL6012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DL6000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Informed Approaches for Collaboration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DL6003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BA Education: Special Educational Needs, Inclusion and Wellbeing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design uses a range of teaching and assessment methods to support students’ learning and achievement of the learning outcomes within a distance learning framework.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 Future Skills will be offered on the course through the Personal and Professional Development modules: Navigate at Level 4 and Explore at Level 5. Apply will be embedded as a 15-credit module at the start of Level 6.</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 distance learners, students are expected to have a suitable computer with internet connection, together with sufficient Information Technology competence to make effective use of our virtual learning environment (VLE) (Canvas) and digital communication channels (Microsoft Teams and emails).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order to complete the course successfully, students will need access to the recommended specification of PC, laptop, or Mac with internet access and a microphone/headphone function. Our on-campus machines run Windows 11 and we recommend that students also have access to this operating system (or macOS 13 or higher for Mac users). No premium hardware is required and whilst tablets, mobile phones and iPads will not be suitable for all practical aspects of the course, they will work well as mobile technologies to access much of the course materials to support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descriptors: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Work-based experience.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Asynchronous and synchronous 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Synchronous 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Asynchronous and synchronous 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Synchronous Tutorials with Digital Mentors.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synchronous and asynchronous activities are designed to foster knowledge acquisition, collaborative learning, and reflective practice. The synchronous lectures, seminars and workshops provide opportunities for real time engagement scheduled in time zones that suit the cohort group, enabling students to interact directly with tutors and peers, clarify concepts, and develop critical thinking through discussion and debate. For those not able to make the synchronous teaching sessions, recordings will be made available via the VLE so these students are still able to follow the content delivered soon after the sessions. This will be complemented with tutorials for those that require it. In addition to synchronous sessions, the asynchronous provision including recorded lectures, online seminars, virtual workshops and question and answer discussion boards made available through the VLE offers flexibility for students to engage with materials at their own pace, revisit key content, and contribute to ongoing dialogue in a reflective manner. Together, these approaches ensure that students not only gain subject knowledge but also build skills in independent study, peer collaboration, and professional reflection, supporting their development as inclusive practitioners.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through simulations and links to external websites.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In addition to this thread throughout the course, there is a distinct ‘Education for Sustainability’ module at Level 4.</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Digital Mentors to support with the technicalities of digital learning.</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(KSU inclusion hub).</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Education Studies Subject Benchmarks</w:t>
        </w:r>
      </w:hyperlink>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Work-based learning External Examiners.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27"/>
        <w:gridCol w:w="236"/>
        <w:gridCol w:w="588"/>
        <w:gridCol w:w="588"/>
        <w:gridCol w:w="588"/>
        <w:gridCol w:w="586"/>
        <w:gridCol w:w="2"/>
        <w:gridCol w:w="588"/>
        <w:gridCol w:w="588"/>
        <w:gridCol w:w="588"/>
        <w:gridCol w:w="584"/>
        <w:gridCol w:w="4"/>
        <w:gridCol w:w="588"/>
        <w:gridCol w:w="588"/>
        <w:gridCol w:w="588"/>
        <w:gridCol w:w="588"/>
        <w:gridCol w:w="59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DL4000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DL5000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Pr="2030048C" w:rsidP="2030048C">
      <w:pPr>
        <w:rPr>
          <w:rFonts w:ascii="Arial" w:eastAsia="Arial" w:hAnsi="Arial" w:cs="Arial"/>
          <w:sz w:val="24"/>
          <w:szCs w:val="24"/>
        </w:rPr>
      </w:pPr>
      <w:r w:rsidRPr="2030048C">
        <w:rPr>
          <w:rFonts w:ascii="Arial" w:eastAsia="Arial" w:hAnsi="Arial" w:cs="Arial"/>
          <w:sz w:val="24"/>
          <w:szCs w:val="24"/>
        </w:rPr>
        <w:t>Students will need to complete tasks in a specific order, which helps tutors to monitor their progress and offer support where required. This approach ensures that students stay on track and get the help and support they need.</w:t>
      </w:r>
    </w:p>
    <w:p w:rsidRPr="2030048C" w:rsidP="2030048C">
      <w:pPr>
        <w:rPr>
          <w:rFonts w:ascii="Arial" w:eastAsia="Arial" w:hAnsi="Arial" w:cs="Arial"/>
          <w:sz w:val="24"/>
          <w:szCs w:val="24"/>
        </w:rPr>
      </w:pPr>
      <w:r w:rsidRPr="2030048C">
        <w:rPr>
          <w:rFonts w:ascii="Arial" w:eastAsia="Arial" w:hAnsi="Arial" w:cs="Arial"/>
          <w:sz w:val="24"/>
          <w:szCs w:val="24"/>
        </w:rPr>
        <w:t>The course has a robust bespoke safeguarding and child protection training that is fit for global education citizenship and forms a unique part of the course. Engagement in the asynchronous tasks which are spread out throughout the three years of study provides further enhancements to the skill set of the students.</w:t>
      </w:r>
    </w:p>
    <w:p w:rsidRPr="2030048C" w:rsidP="2030048C">
      <w:pPr>
        <w:rPr>
          <w:rFonts w:ascii="Arial" w:eastAsia="Arial" w:hAnsi="Arial" w:cs="Arial"/>
          <w:sz w:val="24"/>
          <w:szCs w:val="24"/>
        </w:rPr>
      </w:pPr>
      <w:r w:rsidRPr="2030048C">
        <w:rPr>
          <w:rFonts w:ascii="Arial" w:eastAsia="Arial" w:hAnsi="Arial" w:cs="Arial"/>
          <w:sz w:val="24"/>
          <w:szCs w:val="24"/>
        </w:rPr>
        <w:t>Students will also follow a Study Skills programme that supports their academic skills and progress which covers the essentials including note taking, reading critically to more complex elements such as assessment literacy and feedback literacy. These sessions will be offered through asynchronous tasks.</w:t>
      </w:r>
    </w:p>
    <w:p w:rsidRPr="2030048C" w:rsidP="2030048C">
      <w:pPr>
        <w:rPr>
          <w:rFonts w:ascii="Arial" w:eastAsia="Arial" w:hAnsi="Arial" w:cs="Arial"/>
          <w:sz w:val="24"/>
          <w:szCs w:val="24"/>
        </w:rPr>
      </w:pPr>
      <w:r w:rsidRPr="2030048C">
        <w:rPr>
          <w:rFonts w:ascii="Arial" w:eastAsia="Arial" w:hAnsi="Arial" w:cs="Arial"/>
          <w:sz w:val="24"/>
          <w:szCs w:val="24"/>
        </w:rPr>
        <w:t>Students are also required to complete a range of forms providing audit points within the course. These forms also support the student’s work experience engagement including the role and involvement of their Critical Professional Advocate.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ubject-benchmark-statement-education-studies.pdf?sfvrsn=3ae2cb81_5"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3212E79-FEFA-4560-93B3-1ADDF324CDA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