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Early Years: Teaching and Learning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Early Years: Teaching and Learning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Early Years: Teaching and Learning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X111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not permitted</w:t>
            </w:r>
            <w:r w:rsidRPr="158602C4">
              <w:rPr>
                <w:rStyle w:val="normaltextrun"/>
                <w:rFonts w:ascii="Arial" w:eastAsia="Arial" w:hAnsi="Arial" w:cs="Arial"/>
                <w:b w:val="0"/>
                <w:bCs w:val="0"/>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i/>
                <w:i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present a cohesive programme which builds upon a sound underpinning through an Early Years Foundation Degree route;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ensure that students can demonstrate, throughout the course, that they have adopted appropriate </w:t>
      </w:r>
      <w:r w:rsidRPr="2030048C">
        <w:rPr>
          <w:rStyle w:val="normaltextrun"/>
          <w:rFonts w:ascii="Arial" w:hAnsi="Arial" w:cs="Arial"/>
          <w:color w:val="000000" w:themeColor="text1"/>
          <w:sz w:val="24"/>
          <w:szCs w:val="24"/>
          <w:shd w:val="clear" w:color="auto" w:fill="FFFFFF"/>
        </w:rPr>
        <w:t xml:space="preserve">knowledge, skills, </w:t>
      </w:r>
      <w:r w:rsidRPr="2030048C">
        <w:rPr>
          <w:rStyle w:val="normaltextrun"/>
          <w:rFonts w:ascii="Arial" w:hAnsi="Arial" w:cs="Arial"/>
          <w:color w:val="000000" w:themeColor="text1"/>
          <w:sz w:val="24"/>
          <w:szCs w:val="24"/>
          <w:shd w:val="clear" w:color="auto" w:fill="FFFFFF"/>
        </w:rPr>
        <w:t>value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and belief systems for Early Years;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students’ self-awareness and </w:t>
      </w:r>
      <w:r w:rsidRPr="2030048C">
        <w:rPr>
          <w:rStyle w:val="normaltextrun"/>
          <w:rFonts w:ascii="Arial" w:hAnsi="Arial" w:cs="Arial"/>
          <w:color w:val="000000" w:themeColor="text1"/>
          <w:sz w:val="24"/>
          <w:szCs w:val="24"/>
          <w:shd w:val="clear" w:color="auto" w:fill="FFFFFF"/>
        </w:rPr>
        <w:t xml:space="preserve">critical </w:t>
      </w:r>
      <w:r w:rsidRPr="2030048C">
        <w:rPr>
          <w:rStyle w:val="normaltextrun"/>
          <w:rFonts w:ascii="Arial" w:hAnsi="Arial" w:cs="Arial"/>
          <w:color w:val="000000" w:themeColor="text1"/>
          <w:sz w:val="24"/>
          <w:szCs w:val="24"/>
          <w:shd w:val="clear" w:color="auto" w:fill="FFFFFF"/>
        </w:rPr>
        <w:t>reflection of how they interact, relate and respond to others in the environment in which they work;</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ability to understand and apply the principles of evidence-based practice;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an appropriate understanding of the </w:t>
      </w:r>
      <w:r w:rsidRPr="2030048C">
        <w:rPr>
          <w:rStyle w:val="normaltextrun"/>
          <w:rFonts w:ascii="Arial" w:hAnsi="Arial" w:cs="Arial"/>
          <w:color w:val="000000" w:themeColor="text1"/>
          <w:sz w:val="24"/>
          <w:szCs w:val="24"/>
          <w:shd w:val="clear" w:color="auto" w:fill="FFFFFF"/>
        </w:rPr>
        <w:t xml:space="preserve">theoretical, </w:t>
      </w:r>
      <w:r w:rsidRPr="2030048C">
        <w:rPr>
          <w:rStyle w:val="normaltextrun"/>
          <w:rFonts w:ascii="Arial" w:hAnsi="Arial" w:cs="Arial"/>
          <w:color w:val="000000" w:themeColor="text1"/>
          <w:sz w:val="24"/>
          <w:szCs w:val="24"/>
          <w:shd w:val="clear" w:color="auto" w:fill="FFFFFF"/>
        </w:rPr>
        <w:t xml:space="preserve">regulatory and legislative frameworks </w:t>
      </w:r>
      <w:r w:rsidRPr="2030048C">
        <w:rPr>
          <w:rStyle w:val="normaltextrun"/>
          <w:rFonts w:ascii="Arial" w:hAnsi="Arial" w:cs="Arial"/>
          <w:color w:val="000000" w:themeColor="text1"/>
          <w:sz w:val="24"/>
          <w:szCs w:val="24"/>
          <w:shd w:val="clear" w:color="auto" w:fill="FFFFFF"/>
        </w:rPr>
        <w:t>influencing</w:t>
      </w:r>
      <w:r w:rsidRPr="2030048C">
        <w:rPr>
          <w:rStyle w:val="normaltextrun"/>
          <w:rFonts w:ascii="Arial" w:hAnsi="Arial" w:cs="Arial"/>
          <w:color w:val="000000" w:themeColor="text1"/>
          <w:sz w:val="24"/>
          <w:szCs w:val="24"/>
          <w:shd w:val="clear" w:color="auto" w:fill="FFFFFF"/>
        </w:rPr>
        <w:t xml:space="preserve"> practice in the Early Years Foundation Stage and Key Stage 1 and prepare students to work within this framework;</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comprehensive knowledge of pedagogy which is modelled in taught sessions by the tutors’ explicit articulation and deconstruction of effective strategies for learning and teaching;</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establish an ethos of continuing professional development and provide the opportunity and a suitable basis for the possible progression to Early Years </w:t>
      </w:r>
      <w:r w:rsidRPr="2030048C">
        <w:rPr>
          <w:rStyle w:val="normaltextrun"/>
          <w:rFonts w:ascii="Arial" w:hAnsi="Arial" w:cs="Arial"/>
          <w:color w:val="000000" w:themeColor="text1"/>
          <w:sz w:val="24"/>
          <w:szCs w:val="24"/>
          <w:shd w:val="clear" w:color="auto" w:fill="FFFFFF"/>
        </w:rPr>
        <w:t>Teacher</w:t>
      </w:r>
      <w:r w:rsidRPr="2030048C">
        <w:rPr>
          <w:rStyle w:val="normaltextrun"/>
          <w:rFonts w:ascii="Arial" w:hAnsi="Arial" w:cs="Arial"/>
          <w:color w:val="000000" w:themeColor="text1"/>
          <w:sz w:val="24"/>
          <w:szCs w:val="24"/>
          <w:shd w:val="clear" w:color="auto" w:fill="FFFFFF"/>
        </w:rPr>
        <w:t xml:space="preserve"> Status and/or Qualified Teacher Status, subject to entry requirements of the Teacher Agency (TA).</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and understand Early Years regulatory and legislative frameworks and policy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Early Years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skills required to underpin education within an Early Years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how children’s learning can be affected by physical, intellectual, linguistic, social, cultural and emotional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Plan for learning that takes full account of diversity and promotes inclusion for all children recognising their individual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argument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secure theoretical base that, through practice, demonstrates the ways in which theoretical insights and research findings may inform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independent and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higher order skills including analysis, synthesis, critical thinking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suitable strategies to manage and organise their own time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appropriate Information Communication Technology skills to support their own practice and children’s development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thinking and problem solving skills relating to legislation, policies and procedures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skills required to promote multi agency and multi professional relationships and working as part of a team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3377"/>
        <w:gridCol w:w="945"/>
        <w:gridCol w:w="1870"/>
        <w:gridCol w:w="436"/>
        <w:gridCol w:w="1107"/>
        <w:gridCol w:w="118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rPr>
              <w:t xml:space="preserve">Level 6 </w:t>
            </w:r>
            <w:r w:rsidRPr="2030048C">
              <w:rPr>
                <w:rFonts w:ascii="Arial" w:eastAsia="Arial" w:hAnsi="Arial" w:cs="Arial"/>
                <w:color w:val="000000"/>
                <w:sz w:val="24"/>
                <w:szCs w:val="24"/>
              </w:rPr>
              <w:t>(at least 60 credits = core)</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Core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Module code</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 xml:space="preserve">Credit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Value</w:t>
            </w:r>
          </w:p>
        </w:tc>
        <w:tc>
          <w:tcPr>
            <w:noWrap w:val="0"/>
            <w:tcMar>
              <w:top w:w="15" w:type="dxa"/>
              <w:left w:w="15" w:type="dxa"/>
              <w:bottom w:w="15" w:type="dxa"/>
              <w:right w:w="15" w:type="dxa"/>
            </w:tcMar>
            <w:vAlign w:val="center"/>
            <w:hideMark/>
          </w:tcPr>
          <w:p w:rsidRPr="2030048C" w:rsidP="2030048C">
            <w:pPr>
              <w:ind w:right="-105"/>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 xml:space="preserve">Level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Teaching Block</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Coursework</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sz w:val="20"/>
                <w:szCs w:val="20"/>
              </w:rPr>
              <w: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Leading through Transitions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QY6010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1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Leadership, Diversity and Equal Opportunities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QY6020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Transition and Transformation</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Creative and Critical Thinking</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QY6040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1 and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Critical Choices for Leaders</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QY6050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1 and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Dissertation</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QY6060</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30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0"/>
                <w:szCs w:val="20"/>
              </w:rPr>
              <w:t>Pathway 3 and 4</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0"/>
                <w:szCs w:val="20"/>
              </w:rPr>
              <w:t>All core modules on Pathway 1 or Pathway 2 and,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Professional Practice in the Early Years </w:t>
            </w: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QY6070</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0%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 xml:space="preserve">Non- Credit Bearing Module </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6</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 and 2</w:t>
            </w:r>
          </w:p>
        </w:tc>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0"/>
                <w:szCs w:val="20"/>
              </w:rPr>
              <w:t>100</w:t>
            </w:r>
          </w:p>
        </w:tc>
      </w:tr>
    </w:tbl>
    <w:p w:rsidR="035B6837" w:rsidP="2030048C" w14:paraId="4EB69E2E"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Early Years: Teaching and Learning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Early Years: Teaching and Learning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Critical Choices for Leaders (Pathway 1 and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 in an aspect of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diversity and equal opportuntities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through transitions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teaching and learning strategies have been developed to take account of the Kingston University Curriculum Design Principles. The programmes utilise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group work, seminar discussions, peer feedback workshops and practical tasks. </w:t>
      </w:r>
    </w:p>
    <w:p w:rsidRPr="2030048C" w:rsidP="2030048C">
      <w:pPr>
        <w:rPr>
          <w:rFonts w:ascii="Arial" w:eastAsia="Arial" w:hAnsi="Arial" w:cs="Arial"/>
          <w:sz w:val="24"/>
          <w:szCs w:val="24"/>
        </w:rPr>
      </w:pPr>
      <w:r w:rsidRPr="2030048C">
        <w:rPr>
          <w:rFonts w:ascii="Arial" w:eastAsia="Arial" w:hAnsi="Arial" w:cs="Arial"/>
          <w:sz w:val="24"/>
          <w:szCs w:val="24"/>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Pr="2030048C" w:rsidP="2030048C">
      <w:pPr>
        <w:rPr>
          <w:rFonts w:ascii="Arial" w:eastAsia="Arial" w:hAnsi="Arial" w:cs="Arial"/>
          <w:sz w:val="24"/>
          <w:szCs w:val="24"/>
        </w:rPr>
      </w:pPr>
      <w:r w:rsidRPr="2030048C">
        <w:rPr>
          <w:rFonts w:ascii="Arial" w:eastAsia="Arial" w:hAnsi="Arial" w:cs="Arial"/>
          <w:sz w:val="24"/>
          <w:szCs w:val="24"/>
        </w:rPr>
        <w:t> A range of assessments have been designed to enable students to demonstrate the acquisition of knowledge and skills. These include peer assessments, oral presentations, in-class written paper, report writing, planning activities, observations and professional portfolio. The assessments within each module have been designed to provide formative opportunities that allow students to make links between theory and practice and to receive ‘feed forward’ in preparation for the summative assessments.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use different technologies in order to enhance their personal and professional knowledge and skills. Practice using different technologies has been planned to take place in a supportive environment before the requirement of skills to be evidenced in any summative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Pr="2030048C" w:rsidP="2030048C">
      <w:pPr>
        <w:rPr>
          <w:rFonts w:ascii="Arial" w:eastAsia="Arial" w:hAnsi="Arial" w:cs="Arial"/>
          <w:sz w:val="24"/>
          <w:szCs w:val="24"/>
        </w:rPr>
      </w:pPr>
      <w:r w:rsidRPr="2030048C">
        <w:rPr>
          <w:rFonts w:ascii="Arial" w:eastAsia="Arial" w:hAnsi="Arial" w:cs="Arial"/>
          <w:color w:val="FF0000"/>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At the end of Level 6 students will select an area of interest for their dissertation requiring data collection and analysis within their employment setting. This has been designed to enable students to demonstrate and apply the knowledge and skills that they have acquired throughout the course including ethical considerations of working with young children. The topic of the enquiry will be agreed by the students’ allocated supervisor with the university Programme Leader. The dissertation enables students to further develop research skills and provides them with the foundations for further study if they wish to pursue it. </w:t>
      </w:r>
    </w:p>
    <w:p w:rsidRPr="2030048C" w:rsidP="2030048C">
      <w:pPr>
        <w:rPr>
          <w:rFonts w:ascii="Arial" w:eastAsia="Arial" w:hAnsi="Arial" w:cs="Arial"/>
          <w:sz w:val="24"/>
          <w:szCs w:val="24"/>
        </w:rPr>
      </w:pPr>
      <w:r w:rsidRPr="2030048C">
        <w:rPr>
          <w:rFonts w:ascii="Arial" w:eastAsia="Arial" w:hAnsi="Arial" w:cs="Arial"/>
          <w:i/>
          <w:i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Students are supported by:</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The Programme Leader who will be responsible for ensuring that programme reviews incorporate up to date field developments and that quality assurance policies and procedures are adhered to.</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designated programme administrator based in the School of Education to ensure effective communication between students and university staff and who will prepare documentation for university assessment boards.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module who will be responsible for ensuring the content, delivery and assessment strategies are effective.</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Personal Tutor who will support individual student </w:t>
      </w:r>
      <w:r w:rsidRPr="2030048C">
        <w:rPr>
          <w:rFonts w:ascii="Arial" w:eastAsia="Arial" w:hAnsi="Arial" w:cs="Arial"/>
          <w:sz w:val="24"/>
          <w:szCs w:val="24"/>
        </w:rPr>
        <w:t>progress.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Technical support accessed through Kingston University</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the Kingston University on-line interactive intranet, containing all key resources to enable access to materials from remote locations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named Senior Adviser for Early Years based in the Learning Resource Centre (Kingston Hill Campus)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Programme specific Library Resource at Kingston University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Student Achievement Officer</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facilities at Kingston University that provide advice on issues such as finance, regulations, legal matters and international student support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Dyslexia and Disability student support at Kingston University</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An induction session</w:t>
      </w:r>
      <w:r w:rsidRPr="2030048C">
        <w:rPr>
          <w:rFonts w:ascii="Arial" w:eastAsia="Arial" w:hAnsi="Arial" w:cs="Arial"/>
          <w:sz w:val="24"/>
          <w:szCs w:val="24"/>
        </w:rPr>
        <w:t xml:space="preserve"> at the beginn</w:t>
      </w:r>
      <w:r w:rsidRPr="2030048C">
        <w:rPr>
          <w:rFonts w:ascii="Arial" w:eastAsia="Arial" w:hAnsi="Arial" w:cs="Arial"/>
          <w:sz w:val="24"/>
          <w:szCs w:val="24"/>
        </w:rPr>
        <w:t>ing of the academic year</w:t>
      </w:r>
      <w:r w:rsidRPr="2030048C">
        <w:rPr>
          <w:rFonts w:ascii="Arial" w:eastAsia="Arial" w:hAnsi="Arial" w:cs="Arial"/>
          <w:sz w:val="24"/>
          <w:szCs w:val="24"/>
        </w:rPr>
        <w:t xml:space="preserve">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Staff Student Consultative Committee </w:t>
      </w:r>
    </w:p>
    <w:p w:rsidRPr="2030048C" w:rsidP="2030048C">
      <w:pPr>
        <w:pStyle w:val="ListParagraph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rPr>
          <w:rFonts w:ascii="Arial" w:eastAsia="Arial" w:hAnsi="Arial" w:cs="Arial"/>
          <w:sz w:val="22"/>
          <w:szCs w:val="22"/>
        </w:rPr>
      </w:pP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Annual Monitoring and Enhancement</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Internal Subject Review (ISR) undertaken at subject level</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w:t>
      </w:r>
      <w:r w:rsidRPr="2030048C">
        <w:rPr>
          <w:rFonts w:ascii="Arial" w:eastAsia="Arial" w:hAnsi="Arial" w:cs="Arial"/>
          <w:sz w:val="22"/>
          <w:szCs w:val="22"/>
        </w:rPr>
        <w:t>odule Evaluation Questionnaire (M</w:t>
      </w:r>
      <w:r w:rsidRPr="2030048C">
        <w:rPr>
          <w:rFonts w:ascii="Arial" w:eastAsia="Arial" w:hAnsi="Arial" w:cs="Arial"/>
          <w:sz w:val="22"/>
          <w:szCs w:val="22"/>
        </w:rPr>
        <w:t>EQs</w:t>
      </w:r>
      <w:r w:rsidRPr="2030048C">
        <w:rPr>
          <w:rFonts w:ascii="Arial" w:eastAsia="Arial" w:hAnsi="Arial" w:cs="Arial"/>
          <w:sz w:val="22"/>
          <w:szCs w:val="22"/>
        </w:rPr>
        <w:t>)</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Students’ Self-Review sheet</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monitoring processes which include Module Enhancement Plans (MEPs) and Course Enhancement </w:t>
      </w:r>
      <w:r w:rsidRPr="2030048C">
        <w:rPr>
          <w:rFonts w:ascii="Arial" w:eastAsia="Arial" w:hAnsi="Arial" w:cs="Arial"/>
          <w:sz w:val="22"/>
          <w:szCs w:val="22"/>
        </w:rPr>
        <w:t>Planc</w:t>
      </w:r>
      <w:r w:rsidRPr="2030048C">
        <w:rPr>
          <w:rFonts w:ascii="Arial" w:eastAsia="Arial" w:hAnsi="Arial" w:cs="Arial"/>
          <w:sz w:val="22"/>
          <w:szCs w:val="22"/>
        </w:rPr>
        <w:t xml:space="preserve"> (</w:t>
      </w:r>
      <w:r w:rsidRPr="2030048C">
        <w:rPr>
          <w:rFonts w:ascii="Arial" w:eastAsia="Arial" w:hAnsi="Arial" w:cs="Arial"/>
          <w:sz w:val="22"/>
          <w:szCs w:val="22"/>
        </w:rPr>
        <w:t>CEPc</w:t>
      </w:r>
      <w:r w:rsidRPr="2030048C">
        <w:rPr>
          <w:rFonts w:ascii="Arial" w:eastAsia="Arial" w:hAnsi="Arial" w:cs="Arial"/>
          <w:sz w:val="22"/>
          <w:szCs w:val="22"/>
        </w:rPr>
        <w:t>)</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Module Assessment Boards (MABs) </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Programme Assessment Boards (PABs)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Staff Student Consultative Committee</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QY6060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table" w:customStyle="1" w:styleId="Table">
    <w:name w:val="Table"/>
    <w:basedOn w:val="TableNormal"/>
    <w:tblPr/>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B98E126-608F-45F0-8AD4-E4C7DFFB15F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