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Advanced Pharmaceutics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Advanced Pharmaceutics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Advanced Pharmaceutics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Advanced Pharmaceutics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Advanced Pharmaceutics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UFAPH1APH10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This course is closed to external applicants.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This course is only available to registered MPharm students (Pharmacy or Pharmacy with Biopharmaceutics courses) who do not meet the GPhC accreditation requirements and therefore unable to progress through their MPharm course. Those students will have the option to transfer onto this course at the appropriate level.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the students with fundamental understanding of how bioavailability, pharmacokinetics, physical-chemical principles and techniques, including sustainable laboratory practices, are used in designing and formulating various types of pharmaceutical dosage forms with a focus on routes of administration.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the students the basic knowledge and understanding of the core professional standards, processes and services for patients care within community pharmacy.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comprehensive knowledge of organic reaction mechanisms and their relevance in the synthesis of medicines and associated subject related practical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comprehensive introduction to cell biology, human physiology, and pathological microorganisms, while offering knowledge of the pathophysiology and treatment of immunological responses, infections, cancer, and blood disorders, along with vaccine development and drug delivery systems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comprehensive understanding of principles and practices of pharmaceutical formulation and drug delivery with a focus on the development and characterisation of advanced dosage forms including small biologics.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core national and international pharmaceutical regulatory affairs and their application in pharmaceutical manufacturing.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opportunities for students to develop skills in literature research while enhancing critical thinking and problem-solving through project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students with the opportunities to develop their written and oral communications skills to be able to get across complex and detailed information to both specialist and non-specialist audiences</w:t>
      </w:r>
      <w:r w:rsidRPr="2030048C">
        <w:rPr>
          <w:rStyle w:val="normaltextrun"/>
          <w:rFonts w:ascii="Arial" w:hAnsi="Arial" w:cs="Arial"/>
          <w:color w:val="C00000"/>
          <w:sz w:val="24"/>
          <w:szCs w:val="24"/>
          <w:shd w:val="clear" w:color="auto" w:fill="FFFFFF"/>
        </w:rPr>
        <w:t xml:space="preserv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develop students’ Future Skills Graduate Attribute Profile.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and inclusive working, effective leadership, professional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communication framework to demonstrate patient centred interactions.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design and formulation of dosage forms, and to recognise the importance of key concepts in physiology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 to test hypotheses, design experiments, and interpret results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subject related practical work, recognise and implement relevant safety and sustainable requirements.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drug development process including pre-formulation, formulation stages and large-scale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thinking and problem-solving skills, to analyse and evaluate complex scientific data and make informed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academic and professional skills portfolio.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Appraise basic and fundamental concepts underlying drugs bioavailability and pharmacokinetic in determining drug action and side effect.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and execute research projects efficiently and   demonstrate the ability to be independent, autonomous learners who have effective time management and organisation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mathematical concepts to inform basic drug formulation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Apply the underling principals of anatomy, cell biology, physiology and pharmacology to better understand diseases progression and treatment while being able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explain the physiological and practical principles that underpin the diagnostic tests used to monitor patient health.</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the aetiology and treatment of various diseases when dealing with case scenarios.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Critique molecules of medicinal relevance and assess the structure activity relationship.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modern laboratory techniques and sustainable laboratory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of the regulations applicable to the development, testing and marketing of pharmaceutical products. Interpret and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Plan, conduct and report on complex experiments, research project and Marketing authorisation application (MAA).</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techniques specific to areas of pharmaceuticals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Navigate the drug development process and implement regulatory requirements throughout each stage.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Advanced Pharmaceutics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Advanced Pharmaceutics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Basic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Chemistry for Pharmacy and Pharmaceutical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Human Physiology and Infection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Advanced Pharmaceutics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skills portfolio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Approaches to Pharmaceutical Manufacturing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Advanced Pharmaceutics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formulations and drug delivery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Pharmaceutical Regulatory Affairs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PY6171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Simulation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2"/>
          <w:szCs w:val="22"/>
        </w:rPr>
        <w:t>The Academy of Pharmaceutical Sciences</w:t>
      </w:r>
    </w:p>
    <w:p w:rsidRPr="2030048C" w:rsidP="2030048C">
      <w:pPr>
        <w:rPr>
          <w:rFonts w:ascii="Arial" w:eastAsia="Arial" w:hAnsi="Arial" w:cs="Arial"/>
          <w:sz w:val="24"/>
          <w:szCs w:val="24"/>
        </w:rPr>
      </w:pPr>
      <w:r w:rsidRPr="2030048C">
        <w:rPr>
          <w:rStyle w:val="MsoHyperlink"/>
          <w:rFonts w:ascii="Arial" w:eastAsia="Arial" w:hAnsi="Arial" w:cs="Arial"/>
          <w:color w:val="0563C1"/>
          <w:sz w:val="22"/>
          <w:szCs w:val="22"/>
          <w:u w:val="single" w:color="0563C1"/>
        </w:rPr>
        <w:t>https://www.apsgb.co.uk/</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Royal Pharmaceutical Society</w:t>
      </w:r>
    </w:p>
    <w:p w:rsidRPr="2030048C" w:rsidP="2030048C">
      <w:pPr>
        <w:rPr>
          <w:rFonts w:ascii="Arial" w:eastAsia="Arial" w:hAnsi="Arial" w:cs="Arial"/>
          <w:sz w:val="24"/>
          <w:szCs w:val="24"/>
        </w:rPr>
      </w:pPr>
      <w:hyperlink r:id="rId11" w:history="1">
        <w:r w:rsidRPr="2030048C">
          <w:rPr>
            <w:rFonts w:ascii="Arial" w:eastAsia="Arial" w:hAnsi="Arial" w:cs="Arial"/>
            <w:sz w:val="22"/>
            <w:szCs w:val="22"/>
            <w:shd w:val="clear" w:color="auto" w:fill="FFFFFF"/>
          </w:rPr>
          <w:t>www.rpharms.com/</w:t>
        </w:r>
      </w:hyperlink>
    </w:p>
    <w:p w:rsidRPr="2030048C" w:rsidP="2030048C">
      <w:pPr>
        <w:rPr>
          <w:rFonts w:ascii="Arial" w:eastAsia="Arial" w:hAnsi="Arial" w:cs="Arial"/>
          <w:sz w:val="24"/>
          <w:szCs w:val="24"/>
        </w:rPr>
      </w:pPr>
      <w:r w:rsidRPr="2030048C">
        <w:rPr>
          <w:rFonts w:ascii="Arial" w:eastAsia="Arial" w:hAnsi="Arial" w:cs="Arial"/>
          <w:sz w:val="22"/>
          <w:szCs w:val="22"/>
        </w:rPr>
        <w:t>Kingston University School of Pharmacy and Chemistry</w:t>
      </w:r>
    </w:p>
    <w:p w:rsidRPr="2030048C" w:rsidP="2030048C">
      <w:pPr>
        <w:rPr>
          <w:rFonts w:ascii="Arial" w:eastAsia="Arial" w:hAnsi="Arial" w:cs="Arial"/>
          <w:sz w:val="24"/>
          <w:szCs w:val="24"/>
        </w:rPr>
      </w:pPr>
      <w:hyperlink r:id="rId12" w:history="1">
        <w:r w:rsidRPr="2030048C">
          <w:rPr>
            <w:rFonts w:ascii="Arial" w:eastAsia="Arial" w:hAnsi="Arial" w:cs="Arial"/>
            <w:sz w:val="22"/>
            <w:szCs w:val="22"/>
          </w:rPr>
          <w:t>School of Life Sciences, Chemistry and Pharmacy - Kingston University London</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8"/>
        <w:gridCol w:w="221"/>
        <w:gridCol w:w="552"/>
        <w:gridCol w:w="552"/>
        <w:gridCol w:w="552"/>
        <w:gridCol w:w="550"/>
        <w:gridCol w:w="2"/>
        <w:gridCol w:w="552"/>
        <w:gridCol w:w="552"/>
        <w:gridCol w:w="552"/>
        <w:gridCol w:w="552"/>
        <w:gridCol w:w="548"/>
        <w:gridCol w:w="4"/>
        <w:gridCol w:w="552"/>
        <w:gridCol w:w="552"/>
        <w:gridCol w:w="552"/>
        <w:gridCol w:w="559"/>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PY6171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faculties/faculty-of-health-social-care-education/schools/school-of-life-sciences-chemistry-pharmacy/"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rpharms.com/"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760ADB1-1B7E-4E6F-B1ED-91337AC9A68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