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Adult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Adult Nursing and Allied Health</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Adult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Health and Wellbeing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UFNAD1NAD20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B740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w:t>
            </w:r>
            <w:r w:rsidRPr="2030048C">
              <w:rPr>
                <w:rStyle w:val="normaltextrun"/>
                <w:rFonts w:ascii="Arial" w:eastAsia="Arial" w:hAnsi="Arial" w:cs="Arial"/>
                <w:b w:val="0"/>
                <w:bCs w:val="0"/>
                <w:color w:val="000000"/>
                <w:sz w:val="22"/>
                <w:szCs w:val="22"/>
                <w:shd w:val="clear" w:color="auto" w:fill="FFFFFF"/>
              </w:rPr>
              <w:t xml:space="preserve">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It is an NMC requirement that no compensation is allowed. A variant request will be submitted for the new programmes in line with the existing variant </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rPr>
              <w:t xml:space="preserve">Only two attempts at the practice assessment document are allowed.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3"/>
                      <w:szCs w:val="23"/>
                    </w:rPr>
                    <w:t>Approved variant to retain zero credit modules.</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3"/>
                      <w:szCs w:val="23"/>
                    </w:rPr>
                    <w:t>Approved variant to have a single element of assessment for 30-credit module</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3"/>
                      <w:szCs w:val="23"/>
                    </w:rPr>
                    <w:t>Approved variant to be exempted from the 15-credit Apply module for 2026/27</w:t>
                  </w:r>
                </w:p>
              </w:tc>
            </w:tr>
          </w:tbl>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9"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Adult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0"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and critically appraise secondary and primary sources as a basis for independent study, evidence-based practice and implementation and improvement science.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developing their </w:t>
      </w:r>
      <w:hyperlink r:id="rId11" w:history="1">
        <w:r w:rsidRPr="2030048C">
          <w:rPr>
            <w:rStyle w:val="normaltextrun"/>
            <w:rFonts w:ascii="Arial" w:hAnsi="Arial" w:cs="Arial"/>
            <w:color w:val="000000" w:themeColor="text1"/>
            <w:sz w:val="22"/>
            <w:szCs w:val="22"/>
            <w:shd w:val="clear" w:color="auto" w:fill="FFFFFF"/>
          </w:rPr>
          <w:t>Future Skills</w:t>
        </w:r>
      </w:hyperlink>
      <w:r w:rsidRPr="2030048C">
        <w:rPr>
          <w:rStyle w:val="normaltextrun"/>
          <w:rFonts w:ascii="Arial" w:hAnsi="Arial" w:cs="Arial"/>
          <w:color w:val="000000"/>
          <w:sz w:val="22"/>
          <w:szCs w:val="22"/>
          <w:shd w:val="clear" w:color="auto" w:fill="FFFFFF"/>
        </w:rPr>
        <w:t xml:space="preserve"> and enabling them to develop their graduate attributes.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2"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3"/>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in adult nursing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evidence based interventions; evaluating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adult nursing inventions used in promoting the health and well-being of people,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when applying evidence and draw on clinical experience to make evidence informed decisions across all areas of their practice as an adult nurse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quality improvement strategies to bring about continuous improvement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adult nursing.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adult nursing care applying and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adult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adults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reflective, adaptable, compassionate, skilled and confident adult registrant, with the ability to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2300 hours of practice learning. Practice learning comprises simulated practice learning and placements.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4"/>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Full details of each module will be provided in module descriptors and on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5"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Option Modules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You will be able to choose an option module in year 2 of the course. These modules will provide you with an opportunity to explore in more depth an area of healthcare that you are interested in. The optional modules do not contain any core NMC required content, so they provide you with additional learning opportunities to develop and expand your knowledge in an area of interest. All optional modules will run in teaching block 2. You will be asked to express a preference for your top three option modules and then you will be allocated one of these three. Students can choose any of the optional modules available.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i/>
          <w:i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Other issues relating to professional conduct and behaviours will be considered in accordance with the appropriate University regulations and policies.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Adult Nursing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Nursing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adult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NA4200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Progression to level 5 requires 90 credits at level 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This programme permits progression from level 4 to level 5 with 90 credits at level 4 or above. The outstanding 30 credits from level 4 can be trailed into level 5 and must be passed before progression to level 6. The Practice Assessment Module must be passed by the end of the first placement of 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course at this point who have successfully completed 120 credits at level 4 or above are eligible for the award of Certificate of Higher Education in Health and Wellbeing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Adult Nursing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Adult Nursing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NA5200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Adult Nursing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NA5201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Independent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Progression to level 6 requires 90 credits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course permits progression from level 5 to level 6 with 90 credits at level 5 or above. The outstanding 30 credits from level 5 can be trailed into level 6 and must be passed before consideration for an award. </w:t>
      </w:r>
      <w:r w:rsidRPr="2030048C">
        <w:rPr>
          <w:rStyle w:val="normaltextrun"/>
          <w:rFonts w:ascii="Arial" w:eastAsia="Arial" w:hAnsi="Arial" w:cs="Arial"/>
          <w:color w:val="000000"/>
          <w:sz w:val="22"/>
          <w:szCs w:val="22"/>
        </w:rPr>
        <w:t xml:space="preserve">The Practice Assessment Module must be passed by the end of the first placement of level 6. </w:t>
      </w:r>
      <w:r w:rsidRPr="2030048C">
        <w:rPr>
          <w:rStyle w:val="normaltextrun"/>
          <w:rFonts w:ascii="Arial" w:eastAsia="Arial" w:hAnsi="Arial" w:cs="Arial"/>
          <w:color w:val="000000" w:themeColor="text1" w:themeShade="FF" w:themeTint="FF"/>
          <w:sz w:val="22"/>
          <w:szCs w:val="22"/>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Students exiting the programme at this point who have successfully completed 120 credits at level 5 or above are eligible for the award of Diploma of Higher Education in Health and Wellbeing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Adult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learning and teaching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adult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NA6116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adult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NA6113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programme at this point who have successfully completed a minimum of 60 credits at level 6 are eligible for the award of an Ordinary Bachelor degree in Health and Wellbeing but will not be eligible to register with the Nursing and Midwifery Council. A student who is awarded an Ordinary degree having followed an honours programme:</w:t>
      </w:r>
    </w:p>
    <w:p w:rsidR="6DF80A31" w:rsidRPr="2030048C" w:rsidP="2030048C">
      <w:pPr>
        <w:numPr>
          <w:ilvl w:val="0"/>
          <w:numId w:val="16"/>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is not eligible for the award of the degree with distinction</w:t>
      </w:r>
    </w:p>
    <w:p w:rsidR="6DF80A31" w:rsidRPr="2030048C" w:rsidP="2030048C">
      <w:pPr>
        <w:numPr>
          <w:ilvl w:val="0"/>
          <w:numId w:val="16"/>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is not eligible to register subsequently and be assessed for an honours degree</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To be awarded a BSc </w:t>
      </w:r>
      <w:r w:rsidRPr="2030048C">
        <w:rPr>
          <w:rStyle w:val="normaltextrun"/>
          <w:rFonts w:ascii="Arial" w:eastAsia="Arial" w:hAnsi="Arial" w:cs="Arial"/>
          <w:color w:val="008080"/>
          <w:sz w:val="22"/>
          <w:szCs w:val="22"/>
          <w:u w:val="single" w:color="000000"/>
        </w:rPr>
        <w:t>(</w:t>
      </w:r>
      <w:r w:rsidRPr="2030048C">
        <w:rPr>
          <w:rStyle w:val="normaltextrun"/>
          <w:rFonts w:ascii="Arial" w:eastAsia="Arial" w:hAnsi="Arial" w:cs="Arial"/>
          <w:color w:val="000000"/>
          <w:sz w:val="22"/>
          <w:szCs w:val="22"/>
        </w:rPr>
        <w:t>Hons</w:t>
      </w:r>
      <w:r w:rsidRPr="2030048C">
        <w:rPr>
          <w:rStyle w:val="normaltextrun"/>
          <w:rFonts w:ascii="Arial" w:eastAsia="Arial" w:hAnsi="Arial" w:cs="Arial"/>
          <w:color w:val="008080"/>
          <w:sz w:val="22"/>
          <w:szCs w:val="22"/>
          <w:u w:val="single" w:color="000000"/>
        </w:rPr>
        <w:t>)</w:t>
      </w:r>
      <w:r w:rsidRPr="2030048C">
        <w:rPr>
          <w:rStyle w:val="normaltextrun"/>
          <w:rFonts w:ascii="Arial" w:eastAsia="Arial" w:hAnsi="Arial" w:cs="Arial"/>
          <w:color w:val="000000"/>
          <w:sz w:val="22"/>
          <w:szCs w:val="22"/>
        </w:rPr>
        <w:t xml:space="preserve"> Adult Nursing AND be eligible to register with the Nursing and Midwifery Council (NMC) students must have completed and passed all modules (120 credits at levels 4, 5 and 6) and course requirements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 xml:space="preserve">have completed a minimum of 2300 hours of theory </w:t>
      </w:r>
      <w:r w:rsidRPr="2030048C">
        <w:rPr>
          <w:rStyle w:val="normaltextrun"/>
          <w:rFonts w:ascii="Arial" w:eastAsia="Arial" w:hAnsi="Arial" w:cs="Arial"/>
          <w:b/>
          <w:bCs/>
          <w:color w:val="000000"/>
          <w:sz w:val="22"/>
          <w:szCs w:val="22"/>
        </w:rPr>
        <w:t>and</w:t>
      </w:r>
      <w:r w:rsidRPr="2030048C">
        <w:rPr>
          <w:rStyle w:val="normaltextrun"/>
          <w:rFonts w:ascii="Arial" w:eastAsia="Arial" w:hAnsi="Arial" w:cs="Arial"/>
          <w:color w:val="000000"/>
          <w:sz w:val="22"/>
          <w:szCs w:val="22"/>
        </w:rPr>
        <w:t xml:space="preserve"> 2300 hours of practice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have met the (NMC) requirements for Good Health and Good Character</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It is essential that students meet the NMC and programme requirements for a minimum of 2300 hours of theory and 2300 hours of practice to meet NMC requirements to register as a Registered Nurse. Full attendance is therefore required on the programme including for all practice placements. A record of student hours of attendance in practice are maintained by the university. 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There may also be cases of repeated non-attendance at placement </w:t>
      </w:r>
      <w:r w:rsidRPr="2030048C">
        <w:rPr>
          <w:rStyle w:val="normaltextrun"/>
          <w:rFonts w:ascii="Arial" w:eastAsia="Arial" w:hAnsi="Arial" w:cs="Arial"/>
          <w:color w:val="000000" w:themeColor="text1" w:themeShade="FF" w:themeTint="FF"/>
          <w:sz w:val="22"/>
          <w:szCs w:val="22"/>
        </w:rPr>
        <w:t xml:space="preserve">where the Student Attendance Policy (AP15) is invoked and </w:t>
      </w:r>
      <w:r w:rsidRPr="2030048C">
        <w:rPr>
          <w:rStyle w:val="normaltextrun"/>
          <w:rFonts w:ascii="Arial" w:eastAsia="Arial" w:hAnsi="Arial" w:cs="Arial"/>
          <w:color w:val="000000"/>
          <w:sz w:val="22"/>
          <w:szCs w:val="22"/>
        </w:rPr>
        <w:t>a decision is made to withdraw the student from the programme due to non-engagement with practice. Students who have leave of any type in excess of 6 weeks over the course of the programme may be required to interrupt from the programme as cumulative absences can impact on their ability to progress.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are repeating the final year of the programme due to failure to progress (60 or more credits outstanding at level 6) will be required to undertake an additional 8 to 12 week placement prior to the end of the repeating year. This is to ensure they meet the NMC standards of proficiency for registered nurses prior to their completion and registration with the NMC.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Kingston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The concept of digital healthcare is introduced, and Future Skills are integrated through the Navigate workshops. Year 2 promotes a more detailed understanding of the subject matter covered in Year 1 with a greater focus on field specific learning and evidence-based healthcare. Reasoning skills and theoretical underpinning are developed to enable students to provide substantiated arguments relating to relevant issues. Sustainability is introduced through the Explore workshops and the student's digital skills are further developed by discussion of the role of technology in the organisation and delivery of healthcare. Year 3 prepares students for their role as a registrant. There is a focus on working collaboratively, leading care and teaching and learning in practice. Developing the skills and knowledge required for managing complex care are also integrated into this final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are a mixture of blended and non-blended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Future Skills are embedded into the course by their integration into a module in each year.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6"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20"/>
              </w:numPr>
              <w:ind w:left="720" w:hanging="360"/>
              <w:jc w:val="left"/>
              <w:rPr>
                <w:rFonts w:ascii="Arial" w:eastAsia="Arial" w:hAnsi="Arial" w:cs="Arial"/>
                <w:sz w:val="24"/>
                <w:szCs w:val="24"/>
              </w:rPr>
            </w:pPr>
          </w:p>
          <w:p w:rsidRPr="2030048C" w:rsidP="2030048C">
            <w:pPr>
              <w:numPr>
                <w:ilvl w:val="1"/>
                <w:numId w:val="20"/>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1"/>
              </w:numPr>
              <w:ind w:left="720" w:hanging="360"/>
              <w:jc w:val="left"/>
              <w:rPr>
                <w:rFonts w:ascii="Arial" w:eastAsia="Arial" w:hAnsi="Arial" w:cs="Arial"/>
                <w:sz w:val="24"/>
                <w:szCs w:val="24"/>
              </w:rPr>
            </w:pP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1"/>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6"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17" w:history="1">
              <w:r w:rsidRPr="2030048C">
                <w:rPr>
                  <w:rFonts w:ascii="Arial" w:eastAsia="Arial" w:hAnsi="Arial" w:cs="Arial"/>
                  <w:sz w:val="22"/>
                  <w:szCs w:val="22"/>
                </w:rPr>
                <w:t>https://www.e-lfh.org.uk/</w:t>
              </w:r>
            </w:hyperlink>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18" w:history="1">
              <w:r w:rsidRPr="2030048C">
                <w:rPr>
                  <w:rFonts w:ascii="Arial" w:eastAsia="Arial" w:hAnsi="Arial" w:cs="Arial"/>
                  <w:sz w:val="22"/>
                  <w:szCs w:val="22"/>
                </w:rPr>
                <w:t>https://hstalks.com/biosci/</w:t>
              </w:r>
            </w:hyperlink>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19"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rPr>
          <w:rFonts w:ascii="Arial" w:eastAsia="Arial" w:hAnsi="Arial" w:cs="Arial"/>
          <w:sz w:val="24"/>
          <w:szCs w:val="24"/>
        </w:rPr>
      </w:pPr>
      <w:r w:rsidRPr="2030048C">
        <w:rPr>
          <w:rFonts w:ascii="Arial" w:eastAsia="Arial" w:hAnsi="Arial" w:cs="Arial"/>
          <w:sz w:val="22"/>
          <w:szCs w:val="22"/>
        </w:rPr>
        <w:t>Future skills are integrated through the three years of the course scaffolding the development of graduate attributes including c</w:t>
      </w:r>
      <w:r w:rsidRPr="2030048C">
        <w:rPr>
          <w:rFonts w:ascii="Arial" w:eastAsia="Arial" w:hAnsi="Arial" w:cs="Arial"/>
          <w:sz w:val="22"/>
          <w:szCs w:val="22"/>
        </w:rPr>
        <w:t>reative problem solving, adaptability, resilience and self-awareness. In year 1 the Navigate content is integrated into the introductory module linking the learning outcomes to the student's introduction to the skills, knowledge and attributes required to be a nurse. The assessment has a component focused on feedback literacy facilitating the development of self-evaluative skills. Explore in year 2 has a focus on sustainability and inter-professional working with an assessment integrated into the practice assessment document, exploring working with and learning from others. Year 3 contains the Apply workshops, integrated in the Becoming a Registrant module, providing opportunities for reflection on the application of the attributes developed as part of Future Skills to their role as a newly registered nurse.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20"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studying and assessment at university to support the student transition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1"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2"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3"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8953500" cy="5038725"/>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4"/>
                    <a:stretch>
                      <a:fillRect/>
                    </a:stretch>
                  </pic:blipFill>
                  <pic:spPr>
                    <a:xfrm>
                      <a:off x="0" y="0"/>
                      <a:ext cx="8953500" cy="5038725"/>
                    </a:xfrm>
                    <a:prstGeom prst="rect">
                      <a:avLst/>
                    </a:prstGeom>
                  </pic:spPr>
                </pic:pic>
              </a:graphicData>
            </a:graphic>
          </wp:inline>
        </w:drawing>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1"/>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1"/>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1"/>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1"/>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41"/>
        <w:gridCol w:w="218"/>
        <w:gridCol w:w="559"/>
        <w:gridCol w:w="551"/>
        <w:gridCol w:w="551"/>
        <w:gridCol w:w="550"/>
        <w:gridCol w:w="1"/>
        <w:gridCol w:w="551"/>
        <w:gridCol w:w="551"/>
        <w:gridCol w:w="551"/>
        <w:gridCol w:w="559"/>
        <w:gridCol w:w="557"/>
        <w:gridCol w:w="2"/>
        <w:gridCol w:w="559"/>
        <w:gridCol w:w="559"/>
        <w:gridCol w:w="551"/>
        <w:gridCol w:w="551"/>
        <w:gridCol w:w="54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NA4200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NA6113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NA6116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multilevel"/>
    <w:tmpl w:val="74989B10"/>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hstalks.com/biosci/" TargetMode="External"/><Relationship Id="rId26" Type="http://schemas.openxmlformats.org/officeDocument/2006/relationships/numbering" Target="numbering.xml"/><Relationship Id="rId8" Type="http://schemas.openxmlformats.org/officeDocument/2006/relationships/image" Target="media/image1.png"/><Relationship Id="rId21" Type="http://schemas.openxmlformats.org/officeDocument/2006/relationships/hyperlink" Target="https://plplg.uk/pan-london-epad/" TargetMode="External"/><Relationship Id="rId3" Type="http://schemas.openxmlformats.org/officeDocument/2006/relationships/fontTable" Target="fontTable.xml"/><Relationship Id="rId12" Type="http://schemas.openxmlformats.org/officeDocument/2006/relationships/hyperlink" Target="https://www.officeforstudents.org.uk/media/53821cbf-5779-4380-bf2a-aa8f5c53ecd4/sector-recognised-standards.pdf%22" TargetMode="External"/><Relationship Id="rId17" Type="http://schemas.openxmlformats.org/officeDocument/2006/relationships/hyperlink" Target="https://www.e-lfh.org.uk/" TargetMode="External"/><Relationship Id="rId25"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hyperlink" Target="https://kingstonuniversity.sharepoint.com/sites/staffspace/dep/lls/issupportingyourteaching/Pages/readinglists.aspx" TargetMode="External"/><Relationship Id="rId2" Type="http://schemas.openxmlformats.org/officeDocument/2006/relationships/webSettings" Target="webSettings.xml"/><Relationship Id="rId20" Type="http://schemas.openxmlformats.org/officeDocument/2006/relationships/hyperlink" Target="https://www.hee.nhs.uk/our-work/technology-enhanced-learning" TargetMode="External"/><Relationship Id="rId1" Type="http://schemas.openxmlformats.org/officeDocument/2006/relationships/settings" Target="settings.xml"/><Relationship Id="rId11" Type="http://schemas.openxmlformats.org/officeDocument/2006/relationships/hyperlink" Target="https://www.kingston.ac.uk/aboutkingstonuniversity/future-skills/" TargetMode="External"/><Relationship Id="rId24" Type="http://schemas.openxmlformats.org/officeDocument/2006/relationships/image" Target="media/image3.png"/><Relationship Id="rId6" Type="http://schemas.openxmlformats.org/officeDocument/2006/relationships/customXml" Target="../customXml/item3.xml"/><Relationship Id="rId15" Type="http://schemas.openxmlformats.org/officeDocument/2006/relationships/hyperlink" Target="https://www.kingston.ac.uk/aboutkingstonuniversity/howtheuniversityworks/policiesandregulations/" TargetMode="External"/><Relationship Id="rId23" Type="http://schemas.openxmlformats.org/officeDocument/2006/relationships/hyperlink" Target="file:///C:/Users/KU57258/AppData/Local/Microsoft/Windows/INetCache/Content.Outlook/AUYG671E/HEE%202020" TargetMode="External"/><Relationship Id="rId10" Type="http://schemas.openxmlformats.org/officeDocument/2006/relationships/hyperlink" Target="https://www.nmc.org.uk/globalassets/sitedocuments/nmc-publications/nmc-code.pdfhttps:/www.nmc.org.uk/globalassets/sitedocuments/nmc-publications/nmc-code.pdf" TargetMode="External"/><Relationship Id="rId19" Type="http://schemas.openxmlformats.org/officeDocument/2006/relationships/hyperlink" Target="https://www.qni.org.uk/" TargetMode="External"/><Relationship Id="rId14" Type="http://schemas.openxmlformats.org/officeDocument/2006/relationships/image" Target="media/image2.png"/><Relationship Id="rId22" Type="http://schemas.openxmlformats.org/officeDocument/2006/relationships/hyperlink" Target="https://abc-ld.org/event/abc-with-students/" TargetMode="External"/><Relationship Id="rId27"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nmc.org.uk/standards/standards-for-nurses/standards-of-proficiency-for-registered-nurse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8773FC3-B5C1-4F5B-9EE8-F8F42561B74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