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User Experience Design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30/04/2013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User Experience Design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User Experience Design</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User Experience Design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Kingston upon Thames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BCS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No compensation permitted.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cell"/>
        <w:spacing w:before="0" w:after="0"/>
        <w:ind w:left="0" w:right="0"/>
        <w:rPr>
          <w:rStyle w:val="normaltextrun"/>
          <w:rFonts w:ascii="Arial" w:eastAsia="Arial" w:hAnsi="Arial" w:cs="Arial"/>
          <w:i/>
          <w:iCs/>
          <w:color w:val="000000" w:themeColor="text1"/>
          <w:sz w:val="22"/>
          <w:szCs w:val="22"/>
          <w:shd w:val="clear" w:color="auto" w:fill="FFFFFF"/>
        </w:rPr>
      </w:pPr>
    </w:p>
    <w:p w:rsidRPr="2030048C" w:rsidP="2030048C">
      <w:pPr>
        <w:pStyle w:val="p0"/>
        <w:spacing w:before="0" w:after="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Kingston University’s User Experience Design MSc course has been developed with industry needs and expectations as its ethos and preparing students for the challenges they will face in a highly competitive sector. Modules and assessments are designed to recreate the professional environment and client brief. We continuously update our module content and themes to reflect the latest advances in the industry, and we are always adding to our internal catalogue of video tutorials and workshops.</w:t>
      </w:r>
    </w:p>
    <w:p w:rsidRPr="2030048C" w:rsidP="2030048C">
      <w:pPr>
        <w:pStyle w:val="p0"/>
        <w:spacing w:before="0" w:after="0"/>
        <w:ind w:left="0" w:right="0"/>
        <w:rPr>
          <w:rStyle w:val="normaltextrun"/>
          <w:rFonts w:ascii="Arial" w:eastAsia="Arial" w:hAnsi="Arial" w:cs="Arial"/>
          <w:color w:val="000000" w:themeColor="text1"/>
          <w:sz w:val="22"/>
          <w:szCs w:val="22"/>
          <w:shd w:val="clear" w:color="auto" w:fill="FFFFFF"/>
        </w:rPr>
      </w:pPr>
    </w:p>
    <w:p w:rsidRPr="2030048C" w:rsidP="2030048C">
      <w:pPr>
        <w:pStyle w:val="p0"/>
        <w:spacing w:before="0" w:after="0"/>
        <w:ind w:left="0" w:right="0"/>
        <w:rPr>
          <w:rStyle w:val="normaltextrun"/>
          <w:rFonts w:ascii="Arial" w:eastAsia="Arial" w:hAnsi="Arial" w:cs="Arial"/>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This is a course from our expanding portfolio of digital media courses which includes Game Development (Programming) MSc, Game Development (Design) MA, User Experience Design MSc, as well as </w:t>
      </w:r>
      <w:r w:rsidRPr="2030048C">
        <w:rPr>
          <w:rStyle w:val="normaltextrun"/>
          <w:rFonts w:ascii="Arial" w:eastAsia="Arial" w:hAnsi="Arial" w:cs="Arial"/>
          <w:color w:val="000000" w:themeColor="text1"/>
          <w:sz w:val="22"/>
          <w:szCs w:val="22"/>
          <w:shd w:val="clear" w:color="auto" w:fill="FFFFFF"/>
        </w:rPr>
        <w:t>a number of</w:t>
      </w:r>
      <w:r w:rsidRPr="2030048C">
        <w:rPr>
          <w:rStyle w:val="normaltextrun"/>
          <w:rFonts w:ascii="Arial" w:eastAsia="Arial" w:hAnsi="Arial" w:cs="Arial"/>
          <w:color w:val="000000" w:themeColor="text1"/>
          <w:sz w:val="22"/>
          <w:szCs w:val="22"/>
          <w:shd w:val="clear" w:color="auto" w:fill="FFFFFF"/>
        </w:rPr>
        <w:t xml:space="preserve"> undergraduate courses including Games Technology BSc, Computer Graphics Technology BSc and Digital Media Technology BSc.</w:t>
      </w:r>
      <w:r w:rsidRPr="2030048C">
        <w:rPr>
          <w:rStyle w:val="normaltextrun"/>
          <w:rFonts w:ascii="Times New Roman" w:eastAsia="Times New Roman" w:hAnsi="Times New Roman" w:cs="Times New Roman"/>
          <w:color w:val="000000" w:themeColor="text1"/>
          <w:sz w:val="24"/>
          <w:szCs w:val="24"/>
          <w:shd w:val="clear" w:color="auto" w:fill="FFFFFF"/>
        </w:rPr>
        <w:br/>
      </w:r>
    </w:p>
    <w:p w:rsidRPr="2030048C" w:rsidP="2030048C">
      <w:pPr>
        <w:pStyle w:val="p0"/>
        <w:spacing w:before="0" w:after="0"/>
        <w:ind w:left="0" w:right="0"/>
        <w:rPr>
          <w:rStyle w:val="normaltextrun"/>
          <w:rFonts w:ascii="Arial" w:eastAsia="Arial" w:hAnsi="Arial" w:cs="Arial"/>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A unique aspect of study on this course is its articulation with other taught Masters courses as part of Digital Media Kingston (DMK) that offers</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 xml:space="preserve">User Experience Design MSc, alongside Game Development and Computer </w:t>
      </w:r>
      <w:r w:rsidRPr="2030048C">
        <w:rPr>
          <w:rStyle w:val="normaltextrun"/>
          <w:rFonts w:ascii="Arial" w:eastAsia="Arial" w:hAnsi="Arial" w:cs="Arial"/>
          <w:color w:val="000000" w:themeColor="text1"/>
          <w:sz w:val="22"/>
          <w:szCs w:val="22"/>
          <w:shd w:val="clear" w:color="auto" w:fill="FFFFFF"/>
        </w:rPr>
        <w:t>Animation .</w:t>
      </w:r>
      <w:r w:rsidRPr="2030048C">
        <w:rPr>
          <w:rStyle w:val="normaltextrun"/>
          <w:rFonts w:ascii="Arial" w:eastAsia="Arial" w:hAnsi="Arial" w:cs="Arial"/>
          <w:color w:val="000000" w:themeColor="text1"/>
          <w:sz w:val="22"/>
          <w:szCs w:val="22"/>
          <w:shd w:val="clear" w:color="auto" w:fill="FFFFFF"/>
        </w:rPr>
        <w:t xml:space="preserve"> This provides an integrated learning environment where students can develop their media specialist practice as part of a community engaged in interdisciplinary collaborative innovation. The Master’s in User Experience Design encourages students to devise and participate in projects where they can develop in their field whilst emphasising research-informed, industry-focused practice standards. Each subject pathway provides an intensive period of study that is made</w:t>
      </w:r>
      <w:r w:rsidRPr="2030048C">
        <w:rPr>
          <w:rStyle w:val="normaltextrun"/>
          <w:rFonts w:ascii="Times New Roman" w:eastAsia="Times New Roman" w:hAnsi="Times New Roman" w:cs="Times New Roman"/>
          <w:color w:val="000000" w:themeColor="text1"/>
          <w:sz w:val="24"/>
          <w:szCs w:val="24"/>
          <w:shd w:val="clear" w:color="auto" w:fill="FFFFFF"/>
        </w:rPr>
        <w:br/>
      </w:r>
      <w:r w:rsidRPr="2030048C">
        <w:rPr>
          <w:rStyle w:val="normaltextrun"/>
          <w:rFonts w:ascii="Arial" w:eastAsia="Arial" w:hAnsi="Arial" w:cs="Arial"/>
          <w:color w:val="000000" w:themeColor="text1"/>
          <w:sz w:val="22"/>
          <w:szCs w:val="22"/>
          <w:shd w:val="clear" w:color="auto" w:fill="FFFFFF"/>
        </w:rPr>
        <w:t>up of both course-specific modules and shared core modules within DMK’s Postgraduate Framework. Our goal is to help students develop the critical thinking and the understanding of interdisciplinarity that will underpin their practice in the future.</w:t>
      </w:r>
      <w:r w:rsidRPr="2030048C">
        <w:rPr>
          <w:rStyle w:val="normaltextrun"/>
          <w:rFonts w:ascii="Times New Roman" w:eastAsia="Times New Roman" w:hAnsi="Times New Roman" w:cs="Times New Roman"/>
          <w:color w:val="000000" w:themeColor="text1"/>
          <w:sz w:val="24"/>
          <w:szCs w:val="24"/>
          <w:shd w:val="clear" w:color="auto" w:fill="FFFFFF"/>
        </w:rPr>
        <w:br/>
      </w:r>
    </w:p>
    <w:p w:rsidRPr="2030048C" w:rsidP="2030048C">
      <w:pPr>
        <w:pStyle w:val="p0"/>
        <w:spacing w:before="0" w:after="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The induction week programme includes an introduction to the faculty computer network system, our media studio, and much more. It contains useful information about </w:t>
      </w:r>
      <w:r w:rsidRPr="2030048C">
        <w:rPr>
          <w:rStyle w:val="normaltextrun"/>
          <w:rFonts w:ascii="Arial" w:eastAsia="Arial" w:hAnsi="Arial" w:cs="Arial"/>
          <w:color w:val="000000" w:themeColor="text1"/>
          <w:sz w:val="22"/>
          <w:szCs w:val="22"/>
          <w:shd w:val="clear" w:color="auto" w:fill="FFFFFF"/>
        </w:rPr>
        <w:t xml:space="preserve">the </w:t>
      </w:r>
      <w:r w:rsidRPr="2030048C">
        <w:rPr>
          <w:rStyle w:val="normaltextrun"/>
          <w:rFonts w:ascii="Arial" w:eastAsia="Arial" w:hAnsi="Arial" w:cs="Arial"/>
          <w:color w:val="000000" w:themeColor="text1"/>
          <w:sz w:val="22"/>
          <w:szCs w:val="22"/>
          <w:shd w:val="clear" w:color="auto" w:fill="FFFFFF"/>
        </w:rPr>
        <w:t>course, faculties, and broader community around Kingston University.</w:t>
      </w:r>
    </w:p>
    <w:p w:rsidRPr="2030048C" w:rsidP="2030048C">
      <w:pPr>
        <w:pStyle w:val="p0"/>
        <w:spacing w:before="0" w:after="0"/>
        <w:ind w:left="0" w:right="0"/>
        <w:rPr>
          <w:rStyle w:val="normaltextrun"/>
          <w:rFonts w:ascii="Arial" w:eastAsia="Arial" w:hAnsi="Arial" w:cs="Arial"/>
          <w:color w:val="000000" w:themeColor="text1"/>
          <w:sz w:val="22"/>
          <w:szCs w:val="22"/>
          <w:shd w:val="clear" w:color="auto" w:fill="FFFFFF"/>
        </w:rPr>
      </w:pPr>
    </w:p>
    <w:p w:rsidRPr="2030048C" w:rsidP="2030048C">
      <w:pPr>
        <w:pStyle w:val="p0"/>
        <w:spacing w:before="0" w:after="0"/>
        <w:ind w:left="0" w:right="0"/>
        <w:rPr>
          <w:rStyle w:val="normaltextrun"/>
          <w:rFonts w:ascii="Arial" w:eastAsia="Arial" w:hAnsi="Arial" w:cs="Arial"/>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programme also helps develop employment-ready students through an integrated industrial experience in the form of a work placement on the two-year version of the programme. 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r w:rsidRPr="2030048C">
        <w:rPr>
          <w:rStyle w:val="normaltextrun"/>
          <w:rFonts w:ascii="Times New Roman" w:eastAsia="Times New Roman" w:hAnsi="Times New Roman" w:cs="Times New Roman"/>
          <w:color w:val="000000" w:themeColor="text1"/>
          <w:sz w:val="24"/>
          <w:szCs w:val="24"/>
          <w:shd w:val="clear" w:color="auto" w:fill="FFFFFF"/>
        </w:rPr>
        <w:br/>
      </w:r>
    </w:p>
    <w:p w:rsidRPr="2030048C" w:rsidP="2030048C">
      <w:pPr>
        <w:pStyle w:val="p0"/>
        <w:spacing w:before="0" w:after="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This guide is one of many and contains important and useful information. It contains details information specific to your course, contact names, telephone numbers, and e-mail addresses. We hope this information is useful to you over the whole of the course.</w:t>
      </w:r>
    </w:p>
    <w:p w:rsidRPr="2030048C" w:rsidP="2030048C">
      <w:pPr>
        <w:pStyle w:val="cell"/>
        <w:spacing w:before="0" w:after="0"/>
        <w:ind w:left="0" w:right="0"/>
        <w:rPr>
          <w:rStyle w:val="normaltextrun"/>
          <w:rFonts w:ascii="Arial" w:eastAsia="Arial" w:hAnsi="Arial" w:cs="Arial"/>
          <w:i/>
          <w:iCs/>
          <w:color w:val="000000" w:themeColor="text1"/>
          <w:sz w:val="22"/>
          <w:szCs w:val="22"/>
          <w:shd w:val="clear" w:color="auto" w:fill="FFFFFF"/>
        </w:rPr>
      </w:pPr>
    </w:p>
    <w:p w:rsidRPr="2030048C" w:rsidP="2030048C">
      <w:pPr>
        <w:pStyle w:val="cell"/>
        <w:spacing w:before="0" w:after="0"/>
        <w:ind w:left="0" w:right="0"/>
        <w:rPr>
          <w:rStyle w:val="normaltextrun"/>
          <w:rFonts w:ascii="Arial" w:eastAsia="Arial" w:hAnsi="Arial" w:cs="Arial"/>
          <w:i/>
          <w:iCs/>
          <w:color w:val="000000" w:themeColor="text1"/>
          <w:sz w:val="22"/>
          <w:szCs w:val="22"/>
          <w:shd w:val="clear" w:color="auto" w:fill="FFFFFF"/>
        </w:rPr>
      </w:pPr>
    </w:p>
    <w:p w:rsidRPr="2030048C" w:rsidP="2030048C">
      <w:pPr>
        <w:pStyle w:val="cell"/>
        <w:spacing w:before="0" w:after="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i/>
          <w:iCs/>
          <w:color w:val="000000" w:themeColor="text1"/>
          <w:sz w:val="22"/>
          <w:szCs w:val="22"/>
          <w:shd w:val="clear" w:color="auto" w:fill="FFFFFF"/>
        </w:rPr>
        <w:t>The Aims of the Course are to:</w:t>
      </w:r>
    </w:p>
    <w:p w:rsidRPr="2030048C" w:rsidP="2030048C">
      <w:pPr>
        <w:pStyle w:val="cell"/>
        <w:spacing w:before="0" w:after="0"/>
        <w:ind w:left="0" w:right="0"/>
        <w:rPr>
          <w:rStyle w:val="normaltextrun"/>
          <w:rFonts w:ascii="Arial" w:eastAsia="Arial" w:hAnsi="Arial" w:cs="Arial"/>
          <w:i/>
          <w:iCs/>
          <w:color w:val="000000" w:themeColor="text1"/>
          <w:sz w:val="22"/>
          <w:szCs w:val="22"/>
          <w:shd w:val="clear" w:color="auto" w:fill="FFFFFF"/>
        </w:rPr>
      </w:pPr>
    </w:p>
    <w:p w:rsidRPr="2030048C" w:rsidP="2030048C">
      <w:pPr>
        <w:pStyle w:val="li"/>
        <w:numPr>
          <w:ilvl w:val="0"/>
          <w:numId w:val="12"/>
        </w:numPr>
        <w:pBdr>
          <w:left w:val="none" w:sz="0" w:space="25" w:color="auto"/>
        </w:pBdr>
        <w:spacing w:before="0" w:after="0"/>
        <w:ind w:left="1418" w:right="0" w:hanging="868"/>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Equip students with the capability to exploit user experience design methods, tools and skills which will enable them to create digital media user interfaces for organisations in the 21st century.</w:t>
      </w:r>
    </w:p>
    <w:p w:rsidRPr="2030048C" w:rsidP="2030048C">
      <w:pPr>
        <w:pStyle w:val="p0"/>
        <w:spacing w:before="0" w:after="0"/>
        <w:ind w:left="0" w:right="0"/>
        <w:jc w:val="both"/>
        <w:rPr>
          <w:rStyle w:val="normaltextrun"/>
          <w:rFonts w:ascii="Arial" w:eastAsia="Arial" w:hAnsi="Arial" w:cs="Arial"/>
          <w:color w:val="000000" w:themeColor="text1"/>
          <w:sz w:val="22"/>
          <w:szCs w:val="22"/>
          <w:shd w:val="clear" w:color="auto" w:fill="FFFFFF"/>
        </w:rPr>
      </w:pPr>
    </w:p>
    <w:p w:rsidRPr="2030048C" w:rsidP="2030048C">
      <w:pPr>
        <w:pStyle w:val="li"/>
        <w:numPr>
          <w:ilvl w:val="0"/>
          <w:numId w:val="13"/>
        </w:numPr>
        <w:pBdr>
          <w:left w:val="none" w:sz="0" w:space="25" w:color="auto"/>
        </w:pBdr>
        <w:spacing w:before="0" w:after="0"/>
        <w:ind w:left="1418" w:right="0" w:hanging="868"/>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Enhance a student’s job performance and enable him/her to contribute effectively to the knowledge base of the employer.</w:t>
      </w:r>
    </w:p>
    <w:p w:rsidRPr="2030048C" w:rsidP="2030048C">
      <w:pPr>
        <w:pStyle w:val="BodyText2"/>
        <w:spacing w:before="0" w:after="0"/>
        <w:ind w:left="0" w:right="0"/>
        <w:jc w:val="both"/>
        <w:rPr>
          <w:rStyle w:val="normaltextrun"/>
          <w:rFonts w:ascii="Arial" w:eastAsia="Arial" w:hAnsi="Arial" w:cs="Arial"/>
          <w:color w:val="000000" w:themeColor="text1"/>
          <w:sz w:val="22"/>
          <w:szCs w:val="22"/>
          <w:shd w:val="clear" w:color="auto" w:fill="FFFFFF"/>
        </w:rPr>
      </w:pPr>
    </w:p>
    <w:p w:rsidRPr="2030048C" w:rsidP="2030048C">
      <w:pPr>
        <w:pStyle w:val="BodyText2"/>
        <w:numPr>
          <w:ilvl w:val="0"/>
          <w:numId w:val="14"/>
        </w:numPr>
        <w:pBdr>
          <w:left w:val="none" w:sz="0" w:space="25" w:color="auto"/>
        </w:pBdr>
        <w:spacing w:before="0" w:after="0"/>
        <w:ind w:left="1418" w:right="0" w:hanging="868"/>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Give students the means to explore in detail the technical theory, </w:t>
      </w:r>
      <w:r w:rsidRPr="2030048C">
        <w:rPr>
          <w:rStyle w:val="normaltextrun"/>
          <w:rFonts w:ascii="Arial" w:eastAsia="Arial" w:hAnsi="Arial" w:cs="Arial"/>
          <w:color w:val="000000" w:themeColor="text1"/>
          <w:sz w:val="22"/>
          <w:szCs w:val="22"/>
          <w:shd w:val="clear" w:color="auto" w:fill="FFFFFF"/>
        </w:rPr>
        <w:t>methods</w:t>
      </w:r>
      <w:r w:rsidRPr="2030048C">
        <w:rPr>
          <w:rStyle w:val="normaltextrun"/>
          <w:rFonts w:ascii="Arial" w:eastAsia="Arial" w:hAnsi="Arial" w:cs="Arial"/>
          <w:color w:val="000000" w:themeColor="text1"/>
          <w:sz w:val="22"/>
          <w:szCs w:val="22"/>
          <w:shd w:val="clear" w:color="auto" w:fill="FFFFFF"/>
        </w:rPr>
        <w:t xml:space="preserve"> and reflective practice of user experience design.</w:t>
      </w:r>
    </w:p>
    <w:p w:rsidRPr="2030048C" w:rsidP="2030048C">
      <w:pPr>
        <w:pStyle w:val="BodyText2"/>
        <w:spacing w:before="0" w:after="0"/>
        <w:ind w:left="1418" w:right="0"/>
        <w:rPr>
          <w:rStyle w:val="normaltextrun"/>
          <w:rFonts w:ascii="Arial" w:eastAsia="Arial" w:hAnsi="Arial" w:cs="Arial"/>
          <w:color w:val="000000" w:themeColor="text1"/>
          <w:sz w:val="22"/>
          <w:szCs w:val="22"/>
          <w:shd w:val="clear" w:color="auto" w:fill="FFFFFF"/>
        </w:rPr>
      </w:pPr>
    </w:p>
    <w:p w:rsidRPr="2030048C" w:rsidP="2030048C">
      <w:pPr>
        <w:pStyle w:val="li"/>
        <w:numPr>
          <w:ilvl w:val="0"/>
          <w:numId w:val="15"/>
        </w:numPr>
        <w:pBdr>
          <w:left w:val="none" w:sz="0" w:space="25" w:color="auto"/>
        </w:pBdr>
        <w:spacing w:before="0" w:after="0"/>
        <w:ind w:left="1418" w:right="0" w:hanging="868"/>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Maintain productive links with industry which provide sufficient background for an industrial/commercial dimension to the course.</w:t>
      </w:r>
    </w:p>
    <w:p w:rsidRPr="2030048C" w:rsidP="2030048C">
      <w:pPr>
        <w:pStyle w:val="p0"/>
        <w:spacing w:before="0" w:after="0"/>
        <w:ind w:left="1418" w:right="0" w:hanging="709"/>
        <w:jc w:val="both"/>
        <w:rPr>
          <w:rStyle w:val="normaltextrun"/>
          <w:rFonts w:ascii="Arial" w:eastAsia="Arial" w:hAnsi="Arial" w:cs="Arial"/>
          <w:color w:val="000000" w:themeColor="text1"/>
          <w:sz w:val="22"/>
          <w:szCs w:val="22"/>
          <w:shd w:val="clear" w:color="auto" w:fill="FFFFFF"/>
        </w:rPr>
      </w:pPr>
    </w:p>
    <w:p w:rsidRPr="2030048C" w:rsidP="2030048C">
      <w:pPr>
        <w:pStyle w:val="li"/>
        <w:numPr>
          <w:ilvl w:val="0"/>
          <w:numId w:val="16"/>
        </w:numPr>
        <w:pBdr>
          <w:left w:val="none" w:sz="0" w:space="25" w:color="auto"/>
        </w:pBdr>
        <w:spacing w:before="0" w:after="0"/>
        <w:ind w:left="1418" w:right="0" w:hanging="868"/>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Undertake continuing professional development and updating for established IT professionals.</w:t>
      </w:r>
    </w:p>
    <w:p w:rsidRPr="2030048C" w:rsidP="2030048C">
      <w:pPr>
        <w:pStyle w:val="p0"/>
        <w:spacing w:before="0" w:after="0"/>
        <w:ind w:left="1418" w:right="0" w:hanging="709"/>
        <w:jc w:val="both"/>
        <w:rPr>
          <w:rStyle w:val="normaltextrun"/>
          <w:rFonts w:ascii="Arial" w:eastAsia="Arial" w:hAnsi="Arial" w:cs="Arial"/>
          <w:color w:val="000000" w:themeColor="text1"/>
          <w:sz w:val="22"/>
          <w:szCs w:val="22"/>
          <w:shd w:val="clear" w:color="auto" w:fill="FFFFFF"/>
        </w:rPr>
      </w:pPr>
    </w:p>
    <w:p w:rsidRPr="2030048C" w:rsidP="2030048C">
      <w:pPr>
        <w:pStyle w:val="BodyText2"/>
        <w:numPr>
          <w:ilvl w:val="0"/>
          <w:numId w:val="17"/>
        </w:numPr>
        <w:pBdr>
          <w:left w:val="none" w:sz="0" w:space="25" w:color="auto"/>
        </w:pBdr>
        <w:spacing w:before="0" w:after="0"/>
        <w:ind w:left="1418" w:right="0" w:hanging="868"/>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Implant an enquiring, analytical and creative approach to both personal and professional activities that leads to the critical and responsible use of informed and independent judgement. </w:t>
      </w:r>
    </w:p>
    <w:p w:rsidRPr="2030048C" w:rsidP="2030048C">
      <w:pPr>
        <w:pStyle w:val="BodyText2"/>
        <w:spacing w:before="0" w:after="0"/>
        <w:ind w:left="709" w:right="0" w:hanging="709"/>
        <w:jc w:val="both"/>
        <w:rPr>
          <w:rStyle w:val="normaltextrun"/>
          <w:rFonts w:ascii="Arial" w:eastAsia="Arial" w:hAnsi="Arial" w:cs="Arial"/>
          <w:color w:val="000000" w:themeColor="text1"/>
          <w:sz w:val="22"/>
          <w:szCs w:val="22"/>
          <w:shd w:val="clear" w:color="auto" w:fill="FFFFFF"/>
        </w:rPr>
      </w:pPr>
    </w:p>
    <w:p w:rsidRPr="2030048C" w:rsidP="2030048C">
      <w:pPr>
        <w:pStyle w:val="li"/>
        <w:numPr>
          <w:ilvl w:val="0"/>
          <w:numId w:val="18"/>
        </w:numPr>
        <w:pBdr>
          <w:left w:val="none" w:sz="0" w:space="25" w:color="auto"/>
        </w:pBdr>
        <w:spacing w:before="0" w:after="0"/>
        <w:ind w:left="1418" w:right="0" w:hanging="868"/>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Undertake a more effective role in design and development digital media user interfaces.</w:t>
      </w:r>
    </w:p>
    <w:p w:rsidRPr="2030048C" w:rsidP="2030048C">
      <w:pPr>
        <w:pStyle w:val="p0"/>
        <w:spacing w:before="0" w:after="0"/>
        <w:ind w:left="1418" w:right="0"/>
        <w:jc w:val="both"/>
        <w:rPr>
          <w:rStyle w:val="normaltextrun"/>
          <w:rFonts w:ascii="Arial" w:eastAsia="Arial" w:hAnsi="Arial" w:cs="Arial"/>
          <w:color w:val="000000" w:themeColor="text1"/>
          <w:sz w:val="22"/>
          <w:szCs w:val="22"/>
          <w:shd w:val="clear" w:color="auto" w:fill="FFFFFF"/>
        </w:rPr>
      </w:pPr>
    </w:p>
    <w:p w:rsidRPr="2030048C" w:rsidP="2030048C">
      <w:pPr>
        <w:pStyle w:val="li"/>
        <w:numPr>
          <w:ilvl w:val="0"/>
          <w:numId w:val="19"/>
        </w:numPr>
        <w:pBdr>
          <w:left w:val="none" w:sz="0" w:space="25" w:color="auto"/>
        </w:pBdr>
        <w:spacing w:before="0" w:after="0"/>
        <w:ind w:left="1418" w:right="0" w:hanging="868"/>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Gain a solid foundation in this specialist area, building on knowledge and skills gained from </w:t>
      </w:r>
      <w:r w:rsidRPr="2030048C">
        <w:rPr>
          <w:rStyle w:val="normaltextrun"/>
          <w:rFonts w:ascii="Arial" w:eastAsia="Arial" w:hAnsi="Arial" w:cs="Arial"/>
          <w:color w:val="000000" w:themeColor="text1"/>
          <w:sz w:val="22"/>
          <w:szCs w:val="22"/>
          <w:shd w:val="clear" w:color="auto" w:fill="FFFFFF"/>
        </w:rPr>
        <w:t>students</w:t>
      </w:r>
      <w:r w:rsidRPr="2030048C">
        <w:rPr>
          <w:rStyle w:val="normaltextrun"/>
          <w:rFonts w:ascii="Arial" w:eastAsia="Arial" w:hAnsi="Arial" w:cs="Arial"/>
          <w:color w:val="000000" w:themeColor="text1"/>
          <w:sz w:val="22"/>
          <w:szCs w:val="22"/>
          <w:shd w:val="clear" w:color="auto" w:fill="FFFFFF"/>
        </w:rPr>
        <w:t xml:space="preserve"> individual backgrounds. </w:t>
      </w:r>
    </w:p>
    <w:p w:rsidRPr="2030048C" w:rsidP="2030048C">
      <w:pPr>
        <w:pStyle w:val="p0"/>
        <w:spacing w:before="0" w:after="0"/>
        <w:ind w:left="709" w:right="0"/>
        <w:jc w:val="both"/>
        <w:rPr>
          <w:rStyle w:val="normaltextrun"/>
          <w:rFonts w:ascii="Arial" w:eastAsia="Arial" w:hAnsi="Arial" w:cs="Arial"/>
          <w:color w:val="000000" w:themeColor="text1"/>
          <w:sz w:val="22"/>
          <w:szCs w:val="22"/>
          <w:shd w:val="clear" w:color="auto" w:fill="FFFFFF"/>
        </w:rPr>
      </w:pPr>
    </w:p>
    <w:p w:rsidRPr="2030048C" w:rsidP="2030048C">
      <w:pPr>
        <w:pStyle w:val="li"/>
        <w:numPr>
          <w:ilvl w:val="0"/>
          <w:numId w:val="20"/>
        </w:numPr>
        <w:pBdr>
          <w:left w:val="none" w:sz="0" w:space="25" w:color="auto"/>
        </w:pBdr>
        <w:spacing w:before="0" w:after="0"/>
        <w:ind w:left="1418" w:right="0" w:hanging="868"/>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Have an in-depth understanding of the new user interface modalities, </w:t>
      </w:r>
      <w:r w:rsidRPr="2030048C">
        <w:rPr>
          <w:rStyle w:val="normaltextrun"/>
          <w:rFonts w:ascii="Arial" w:eastAsia="Arial" w:hAnsi="Arial" w:cs="Arial"/>
          <w:color w:val="000000" w:themeColor="text1"/>
          <w:sz w:val="22"/>
          <w:szCs w:val="22"/>
          <w:shd w:val="clear" w:color="auto" w:fill="FFFFFF"/>
        </w:rPr>
        <w:t>media</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and</w:t>
      </w:r>
      <w:r w:rsidRPr="2030048C">
        <w:rPr>
          <w:rStyle w:val="normaltextrun"/>
          <w:rFonts w:ascii="Arial" w:eastAsia="Arial" w:hAnsi="Arial" w:cs="Arial"/>
          <w:color w:val="000000" w:themeColor="text1"/>
          <w:sz w:val="22"/>
          <w:szCs w:val="22"/>
          <w:shd w:val="clear" w:color="auto" w:fill="FFFFFF"/>
        </w:rPr>
        <w:t xml:space="preserve"> architectures appropriate to the design of great user experiences across multi-channels and touchpoints throughout the user journey.</w:t>
      </w:r>
    </w:p>
    <w:p w:rsidRPr="2030048C" w:rsidP="2030048C">
      <w:pPr>
        <w:pStyle w:val="p0"/>
        <w:spacing w:before="0" w:after="0"/>
        <w:ind w:left="1418" w:right="0" w:hanging="70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 </w:t>
      </w:r>
    </w:p>
    <w:p w:rsidRPr="2030048C" w:rsidP="2030048C">
      <w:pPr>
        <w:pStyle w:val="BodyText2"/>
        <w:numPr>
          <w:ilvl w:val="0"/>
          <w:numId w:val="21"/>
        </w:numPr>
        <w:pBdr>
          <w:left w:val="none" w:sz="0" w:space="25" w:color="auto"/>
        </w:pBdr>
        <w:spacing w:before="0" w:after="0"/>
        <w:ind w:left="1418" w:right="0" w:hanging="868"/>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Have an opportunity to study a subject area which is relevant to the field but also satisfies the individual's background and experience.</w:t>
      </w:r>
    </w:p>
    <w:p w:rsidRPr="2030048C" w:rsidP="2030048C">
      <w:pPr>
        <w:pStyle w:val="BodyText2"/>
        <w:spacing w:before="0" w:after="0"/>
        <w:ind w:left="709" w:right="0" w:hanging="709"/>
        <w:jc w:val="both"/>
        <w:rPr>
          <w:rStyle w:val="normaltextrun"/>
          <w:rFonts w:ascii="Arial" w:eastAsia="Arial" w:hAnsi="Arial" w:cs="Arial"/>
          <w:color w:val="000000" w:themeColor="text1"/>
          <w:sz w:val="22"/>
          <w:szCs w:val="22"/>
          <w:shd w:val="clear" w:color="auto" w:fill="FFFFFF"/>
        </w:rPr>
      </w:pPr>
    </w:p>
    <w:p w:rsidRPr="2030048C" w:rsidP="2030048C">
      <w:pPr>
        <w:pStyle w:val="BodyText2"/>
        <w:numPr>
          <w:ilvl w:val="0"/>
          <w:numId w:val="22"/>
        </w:numPr>
        <w:pBdr>
          <w:left w:val="none" w:sz="0" w:space="25" w:color="auto"/>
        </w:pBdr>
        <w:spacing w:before="0" w:after="0"/>
        <w:ind w:left="1418" w:right="0" w:hanging="868"/>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Have the ability to</w:t>
      </w:r>
      <w:r w:rsidRPr="2030048C">
        <w:rPr>
          <w:rStyle w:val="normaltextrun"/>
          <w:rFonts w:ascii="Arial" w:eastAsia="Arial" w:hAnsi="Arial" w:cs="Arial"/>
          <w:color w:val="000000" w:themeColor="text1"/>
          <w:sz w:val="22"/>
          <w:szCs w:val="22"/>
          <w:shd w:val="clear" w:color="auto" w:fill="FFFFFF"/>
        </w:rPr>
        <w:t xml:space="preserve"> apply specialised knowledge and skills to the analysis and solution of novel design problems in commerce and industry.</w:t>
      </w:r>
    </w:p>
    <w:p w:rsidRPr="2030048C" w:rsidP="2030048C">
      <w:pPr>
        <w:pStyle w:val="p0"/>
        <w:spacing w:before="0" w:after="0"/>
        <w:ind w:left="0" w:right="0"/>
        <w:rPr>
          <w:rStyle w:val="normaltextrun"/>
          <w:rFonts w:ascii="Arial" w:eastAsia="Arial" w:hAnsi="Arial" w:cs="Arial"/>
          <w:color w:val="000000" w:themeColor="text1"/>
          <w:sz w:val="24"/>
          <w:szCs w:val="24"/>
          <w:shd w:val="clear" w:color="auto" w:fill="FFFFFF"/>
        </w:rPr>
      </w:pPr>
    </w:p>
    <w:p w:rsidRPr="2030048C" w:rsidP="2030048C">
      <w:pPr>
        <w:pStyle w:val="ListParagraph0"/>
        <w:spacing w:before="0" w:after="0"/>
        <w:ind w:left="0" w:right="0"/>
        <w:rPr>
          <w:rStyle w:val="normaltextrun"/>
          <w:rFonts w:ascii="Arial" w:eastAsia="Arial" w:hAnsi="Arial" w:cs="Arial"/>
          <w:i/>
          <w:iCs/>
          <w:color w:val="000000" w:themeColor="text1"/>
          <w:sz w:val="22"/>
          <w:szCs w:val="22"/>
          <w:shd w:val="clear" w:color="auto" w:fill="FFFFFF"/>
        </w:rPr>
      </w:pP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in a professional context, including understanding of their professional development and the structure of the placement organisation (With Professional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their experience during the professional placement, including research and information literacy, numeracy, management and leadership skills. (with Professional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relate academic theory to practice, develop and practise key personal and employability skills and show examples of the application of these skills (With Professional Placement Only)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the practices and ideas: methods, materials, processes and technologies appropriate to user experience design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individual creativity, vision, personal expression and intellectual ability in their chosen professional specialism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Show awareness of issues of selection, accuracy and uncertainty in the collection and analysis of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Have a self-critical and reflective approach to their own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ability to engage and undertake sustained, research, critical analysis and evaluation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Effectively communicate ideas through the appropriate level of visual, written and oral presentation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Know the design process and problem solving in both disciplinary and interdisciplinary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relevant and appropriate theoretical and practical ideas and integrate these within the design process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broad range of materials, processes and presentation techniques appropriate to context, projects and audience successfully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Have the capacity to critically appraise both traditional and current approaches to User Experience Design and the understanding of the relationship between theory and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ability to apply advanced critical knowledge of the contemporary contexts of design in evaluating own and others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Utilise appropriate visual material from a variety of primary and secondary research 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course is part of the University’s Postgraduate Regulations (PR).  </w:t>
      </w:r>
      <w:r w:rsidRPr="2030048C">
        <w:rPr>
          <w:rFonts w:ascii="Arial" w:eastAsia="Arial" w:hAnsi="Arial" w:cs="Arial"/>
          <w:color w:val="000000" w:themeColor="text1" w:themeShade="FF" w:themeTint="FF"/>
          <w:sz w:val="24"/>
          <w:szCs w:val="24"/>
        </w:rPr>
        <w:t>Courses in the PR are made up of modules that are designated at level 7.</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Single taught modules in the courses are valued at 30 credits and the course contains a project that has 60 credits.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The minimum requirement for a Postgraduate Certificate is 60 credits, for a Postgraduate Diploma 120 credits and a </w:t>
      </w:r>
      <w:r w:rsidRPr="2030048C">
        <w:rPr>
          <w:rFonts w:ascii="Arial" w:eastAsia="Arial" w:hAnsi="Arial" w:cs="Arial"/>
          <w:color w:val="000000" w:themeColor="text1" w:themeShade="FF" w:themeTint="FF"/>
          <w:sz w:val="24"/>
          <w:szCs w:val="24"/>
        </w:rPr>
        <w:t>Masters Degree</w:t>
      </w:r>
      <w:r w:rsidRPr="2030048C">
        <w:rPr>
          <w:rFonts w:ascii="Arial" w:eastAsia="Arial" w:hAnsi="Arial" w:cs="Arial"/>
          <w:color w:val="000000" w:themeColor="text1" w:themeShade="FF" w:themeTint="FF"/>
          <w:sz w:val="24"/>
          <w:szCs w:val="24"/>
        </w:rPr>
        <w:t xml:space="preserve"> 180 credits.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course offers the PG Certificate as an exit award only and is based on the student passing any coherent subset of the taught modules.</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awards available are detailed in section A and the requirements are outlined below.</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All students will be provided with the PR regulations in the student handbook.</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Courses are offered as 1 year full-time, and normally 2-3 years part-time. The course design fully considers all student groups.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Delivery of modules is either by two 1-week blocks separated by several weeks, or full-day sessions spread over a teaching block.</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Overseas students are also able to complete their degree within VISA limitations.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Full-time students will complete the programme of study and assessment in 52 weeks.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The normal study pattern for part-time students is that they should complete 4 modules over a </w:t>
      </w:r>
      <w:r w:rsidRPr="2030048C">
        <w:rPr>
          <w:rFonts w:ascii="Arial" w:eastAsia="Arial" w:hAnsi="Arial" w:cs="Arial"/>
          <w:color w:val="000000" w:themeColor="text1" w:themeShade="FF" w:themeTint="FF"/>
          <w:sz w:val="24"/>
          <w:szCs w:val="24"/>
        </w:rPr>
        <w:t>two to three year</w:t>
      </w:r>
      <w:r w:rsidRPr="2030048C">
        <w:rPr>
          <w:rFonts w:ascii="Arial" w:eastAsia="Arial" w:hAnsi="Arial" w:cs="Arial"/>
          <w:color w:val="000000" w:themeColor="text1" w:themeShade="FF" w:themeTint="FF"/>
          <w:sz w:val="24"/>
          <w:szCs w:val="24"/>
        </w:rPr>
        <w:t xml:space="preserve"> period and complete their project within the same period.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Because of the structure of the course, part-time students may be able to commence the course at different times during the academic year after discussion with the Course Leader of relevant issues, including the need for specific preparatory study.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Normally, each module will include approximately 60 hours contact time, followed by directed learning resulting in a total of 300 hours of student effort.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 project is the equivalent of two modules and requires 600 hours of student effort.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 January intake is accommodated by ensuring that two technical modules are delivered in the Spring semester.</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This ensures that all students, including January starters can complete the individual project in the summer without disadvantage.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To address advanced ethics and professional issues, these issues are addressed within the context of technical core modules taken before the project is conducted, specifically, within </w:t>
      </w:r>
      <w:r w:rsidRPr="2030048C">
        <w:rPr>
          <w:rFonts w:ascii="Arial" w:eastAsia="Arial" w:hAnsi="Arial" w:cs="Arial"/>
          <w:color w:val="000000" w:themeColor="text1" w:themeShade="FF" w:themeTint="FF"/>
          <w:sz w:val="24"/>
          <w:szCs w:val="24"/>
        </w:rPr>
        <w:t xml:space="preserve">Induction, </w:t>
      </w:r>
      <w:r w:rsidRPr="2030048C">
        <w:rPr>
          <w:rFonts w:ascii="Arial" w:eastAsia="Arial" w:hAnsi="Arial" w:cs="Arial"/>
          <w:color w:val="000000" w:themeColor="text1" w:themeShade="FF" w:themeTint="FF"/>
          <w:sz w:val="24"/>
          <w:szCs w:val="24"/>
        </w:rPr>
        <w:t>Digital Studio Practice, and the Individual Project.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To prevent assessment bunching and over assessment, there is a planning meeting at the beginning of teaching blocks 1 and 2.</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made up of four modules each worth 30 credit points plus an individual project worth 60 credits. All students will be provided with the University regulations and specific additions that are sometimes required for accreditation by outside bodies (</w:t>
      </w:r>
      <w:r w:rsidRPr="2030048C">
        <w:rPr>
          <w:rFonts w:ascii="Arial" w:eastAsia="Arial" w:hAnsi="Arial" w:cs="Arial"/>
          <w:color w:val="000000" w:themeColor="text1" w:themeShade="FF" w:themeTint="FF"/>
          <w:sz w:val="24"/>
          <w:szCs w:val="24"/>
        </w:rPr>
        <w:t>e.g.</w:t>
      </w:r>
      <w:r w:rsidRPr="2030048C">
        <w:rPr>
          <w:rFonts w:ascii="Arial" w:eastAsia="Arial" w:hAnsi="Arial" w:cs="Arial"/>
          <w:color w:val="000000" w:themeColor="text1" w:themeShade="FF" w:themeTint="FF"/>
          <w:sz w:val="24"/>
          <w:szCs w:val="24"/>
        </w:rPr>
        <w:t xml:space="preserve"> professional or statutory bodies that confer professional accreditation).</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For the full-time students, the course is for one year, with two modules per semester and the final project. All modules are assignment-based and each one is worth 30-credits. The part time students have one module per semester and the course is for two years.</w:t>
      </w: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rPr>
        <w:t>The academic year is comprised of two Blocks. Some modules run across the teaching block for 10 weeks generally on a time-tabled day. Other modules run over two whole weeks. Although you do not have lectures in every week of the term time, you are obliged to remain in contact with the university during term time and be available to come in if necessary.</w:t>
      </w: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starting the course in September will work on the placement for between 10 – 12 months, after com</w:t>
      </w:r>
      <w:r w:rsidRPr="2030048C">
        <w:rPr>
          <w:rFonts w:ascii="Arial" w:eastAsia="Arial" w:hAnsi="Arial" w:cs="Arial"/>
          <w:color w:val="000000" w:themeColor="text1" w:themeShade="FF" w:themeTint="FF"/>
          <w:sz w:val="24"/>
          <w:szCs w:val="24"/>
        </w:rPr>
        <w:t>p</w:t>
      </w:r>
      <w:r w:rsidRPr="2030048C">
        <w:rPr>
          <w:rFonts w:ascii="Arial" w:eastAsia="Arial" w:hAnsi="Arial" w:cs="Arial"/>
          <w:color w:val="000000" w:themeColor="text1" w:themeShade="FF" w:themeTint="FF"/>
          <w:sz w:val="24"/>
          <w:szCs w:val="24"/>
        </w:rPr>
        <w:t>leting their dissertation starting from October. Those students must confirm their placement before 15 August. Students on courses with January intake will work on the placement for between 10 – 12 months, starting from February, after completing their dissertation. Students on this intake must confirm their placement before 20 December. In either case, the suitability of the placement requires approval of the Course Leader. Students on placement must complete a portfolio assessment which includes a reflection on how the theories they have learnt during their teaching year have helped them in their placement and demonstrate ability to apply their teaching in a real-world situation.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User Experience Design</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User Experience Design</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 xml:space="preserve"> Digital Studio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CI7810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Beyond Optimising Interaction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CI7701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Design Thinking Theory and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CI7831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User Experience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CI7801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Final Project</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UX for Emerging Technology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CI7821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3498DB"/>
          <w:sz w:val="24"/>
          <w:szCs w:val="24"/>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p"/>
        <w:spacing w:before="0" w:after="0"/>
        <w:ind w:left="0" w:right="0"/>
        <w:rPr>
          <w:rFonts w:ascii="Arial" w:eastAsia="Arial" w:hAnsi="Arial" w:cs="Arial"/>
          <w:b/>
          <w:bCs/>
          <w:sz w:val="24"/>
          <w:szCs w:val="24"/>
        </w:rPr>
      </w:pP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Digital Media Kingston promotes and sustains a distinctive pattern of teaching and learning practices. Teaching and learning strategies have developed in close relation to the digital media subjects, </w:t>
      </w:r>
      <w:r w:rsidRPr="2030048C">
        <w:rPr>
          <w:rFonts w:ascii="Arial" w:eastAsia="Arial" w:hAnsi="Arial" w:cs="Arial"/>
          <w:sz w:val="22"/>
          <w:szCs w:val="22"/>
        </w:rPr>
        <w:t>disciplines</w:t>
      </w:r>
      <w:r w:rsidRPr="2030048C">
        <w:rPr>
          <w:rFonts w:ascii="Arial" w:eastAsia="Arial" w:hAnsi="Arial" w:cs="Arial"/>
          <w:sz w:val="22"/>
          <w:szCs w:val="22"/>
        </w:rPr>
        <w:t xml:space="preserve"> and the creative industries. The ways in which students develop knowledge and understanding of their subject is equally distinct, with a strong emphasis being placed on the management of increasingly complex studio based practical digital media projects. Although the nature of the digital media project is that of a holistic design experience the aims of the modules are distinct in the practical project undertaken by the student and as such are assessed individually and collectively in relation to the modules aims.</w:t>
      </w:r>
    </w:p>
    <w:p w:rsidRPr="2030048C" w:rsidP="2030048C">
      <w:pPr>
        <w:pStyle w:val="p"/>
        <w:spacing w:before="0" w:after="0" w:line="276" w:lineRule="auto"/>
        <w:ind w:left="0" w:right="0"/>
        <w:jc w:val="both"/>
        <w:rPr>
          <w:rFonts w:ascii="Arial" w:eastAsia="Arial" w:hAnsi="Arial" w:cs="Arial"/>
          <w:sz w:val="22"/>
          <w:szCs w:val="22"/>
        </w:rPr>
      </w:pPr>
    </w:p>
    <w:p w:rsidRPr="2030048C" w:rsidP="2030048C">
      <w:pPr>
        <w:pStyle w:val="Body"/>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Students are strongly encouraged to develop their own informed and creative approach, </w:t>
      </w:r>
      <w:r w:rsidRPr="2030048C">
        <w:rPr>
          <w:rFonts w:ascii="Arial" w:eastAsia="Arial" w:hAnsi="Arial" w:cs="Arial"/>
          <w:sz w:val="22"/>
          <w:szCs w:val="22"/>
        </w:rPr>
        <w:t>taking into account</w:t>
      </w:r>
      <w:r w:rsidRPr="2030048C">
        <w:rPr>
          <w:rFonts w:ascii="Arial" w:eastAsia="Arial" w:hAnsi="Arial" w:cs="Arial"/>
          <w:sz w:val="22"/>
          <w:szCs w:val="22"/>
        </w:rPr>
        <w:t xml:space="preserve"> contemporary research, current industry and digital media practices. This is achieved through the teaching philosophy at DMK, which highlights the importance of knowledge of the contemporary and future digital media context and through awareness of the forces and issues that influence society and industry to meet the needs of present and future generations.</w:t>
      </w:r>
      <w:r w:rsidRPr="2030048C">
        <w:rPr>
          <w:rFonts w:ascii="Arial" w:eastAsia="Arial" w:hAnsi="Arial" w:cs="Arial"/>
          <w:sz w:val="22"/>
          <w:szCs w:val="22"/>
          <w:shd w:val="clear" w:color="auto" w:fill="00FFFF"/>
        </w:rPr>
        <w:t xml:space="preserve"> </w:t>
      </w:r>
    </w:p>
    <w:p w:rsidRPr="2030048C" w:rsidP="2030048C">
      <w:pPr>
        <w:pStyle w:val="Body"/>
        <w:spacing w:before="0" w:after="0" w:line="276" w:lineRule="auto"/>
        <w:ind w:left="0" w:right="0"/>
        <w:jc w:val="both"/>
        <w:rPr>
          <w:rFonts w:ascii="Arial" w:eastAsia="Arial" w:hAnsi="Arial" w:cs="Arial"/>
          <w:sz w:val="22"/>
          <w:szCs w:val="22"/>
        </w:rPr>
      </w:pP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approach to Teaching, Learning and Assessment is informed by Kingston University’s strategic plan: </w:t>
      </w:r>
      <w:r w:rsidRPr="2030048C">
        <w:rPr>
          <w:rFonts w:ascii="Arial" w:eastAsia="Arial" w:hAnsi="Arial" w:cs="Arial"/>
          <w:i/>
          <w:iCs/>
          <w:sz w:val="22"/>
          <w:szCs w:val="22"/>
        </w:rPr>
        <w:t>Led by Learning</w:t>
      </w:r>
      <w:r w:rsidRPr="2030048C">
        <w:rPr>
          <w:rFonts w:ascii="Arial" w:eastAsia="Arial" w:hAnsi="Arial" w:cs="Arial"/>
          <w:sz w:val="22"/>
          <w:szCs w:val="22"/>
        </w:rPr>
        <w:t xml:space="preserve">. </w:t>
      </w:r>
      <w:r w:rsidRPr="2030048C">
        <w:rPr>
          <w:rFonts w:ascii="Arial" w:eastAsia="Arial" w:hAnsi="Arial" w:cs="Arial"/>
          <w:sz w:val="22"/>
          <w:szCs w:val="22"/>
        </w:rPr>
        <w:t>In particular this</w:t>
      </w:r>
      <w:r w:rsidRPr="2030048C">
        <w:rPr>
          <w:rFonts w:ascii="Arial" w:eastAsia="Arial" w:hAnsi="Arial" w:cs="Arial"/>
          <w:sz w:val="22"/>
          <w:szCs w:val="22"/>
        </w:rPr>
        <w:t xml:space="preserve"> provides an emphasis on key aspects of our approach: </w:t>
      </w:r>
    </w:p>
    <w:p w:rsidRPr="2030048C" w:rsidP="2030048C">
      <w:pPr>
        <w:pStyle w:val="li0"/>
        <w:numPr>
          <w:ilvl w:val="0"/>
          <w:numId w:val="24"/>
        </w:numPr>
        <w:pBdr>
          <w:left w:val="none" w:sz="0" w:space="11" w:color="auto"/>
        </w:pBdr>
        <w:spacing w:before="0" w:after="0" w:line="276" w:lineRule="auto"/>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encouragement and support of </w:t>
      </w:r>
      <w:r w:rsidRPr="2030048C">
        <w:rPr>
          <w:rFonts w:ascii="Arial" w:eastAsia="Arial" w:hAnsi="Arial" w:cs="Arial"/>
          <w:sz w:val="22"/>
          <w:szCs w:val="22"/>
        </w:rPr>
        <w:t>high quality</w:t>
      </w:r>
      <w:r w:rsidRPr="2030048C">
        <w:rPr>
          <w:rFonts w:ascii="Arial" w:eastAsia="Arial" w:hAnsi="Arial" w:cs="Arial"/>
          <w:sz w:val="22"/>
          <w:szCs w:val="22"/>
        </w:rPr>
        <w:t xml:space="preserve"> teaching informed by research and best practice. </w:t>
      </w:r>
    </w:p>
    <w:p w:rsidRPr="2030048C" w:rsidP="2030048C">
      <w:pPr>
        <w:pStyle w:val="li0"/>
        <w:numPr>
          <w:ilvl w:val="0"/>
          <w:numId w:val="24"/>
        </w:numPr>
        <w:pBdr>
          <w:left w:val="none" w:sz="0" w:space="11" w:color="auto"/>
        </w:pBdr>
        <w:spacing w:before="0" w:after="0" w:line="276" w:lineRule="auto"/>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 xml:space="preserve">An environment that will create, test, share and spread knowledge for its own sake. </w:t>
      </w:r>
    </w:p>
    <w:p w:rsidRPr="2030048C" w:rsidP="2030048C">
      <w:pPr>
        <w:pStyle w:val="li0"/>
        <w:numPr>
          <w:ilvl w:val="0"/>
          <w:numId w:val="24"/>
        </w:numPr>
        <w:pBdr>
          <w:left w:val="none" w:sz="0" w:space="11" w:color="auto"/>
        </w:pBdr>
        <w:spacing w:before="0" w:after="0" w:line="276" w:lineRule="auto"/>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Those delivering teaching will be engaged in the development of their discipline.</w:t>
      </w:r>
    </w:p>
    <w:p w:rsidRPr="2030048C" w:rsidP="2030048C">
      <w:pPr>
        <w:pStyle w:val="li0"/>
        <w:numPr>
          <w:ilvl w:val="0"/>
          <w:numId w:val="24"/>
        </w:numPr>
        <w:pBdr>
          <w:left w:val="none" w:sz="0" w:space="11" w:color="auto"/>
        </w:pBdr>
        <w:spacing w:before="0" w:after="0" w:line="276" w:lineRule="auto"/>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The course team will enable students to have the choices and the skills needed for fulfilling professional employment.</w:t>
      </w:r>
    </w:p>
    <w:p w:rsidRPr="2030048C" w:rsidP="2030048C">
      <w:pPr>
        <w:pStyle w:val="p"/>
        <w:spacing w:before="0" w:after="0" w:line="276" w:lineRule="auto"/>
        <w:ind w:left="0" w:right="0"/>
        <w:jc w:val="both"/>
        <w:rPr>
          <w:rFonts w:ascii="Arial" w:eastAsia="Arial" w:hAnsi="Arial" w:cs="Arial"/>
          <w:sz w:val="22"/>
          <w:szCs w:val="22"/>
        </w:rPr>
      </w:pP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2030048C">
        <w:rPr>
          <w:rFonts w:ascii="Arial" w:eastAsia="Arial" w:hAnsi="Arial" w:cs="Arial"/>
          <w:i/>
          <w:iCs/>
          <w:sz w:val="22"/>
          <w:szCs w:val="22"/>
        </w:rPr>
        <w:t xml:space="preserve"> producing</w:t>
      </w:r>
      <w:r w:rsidRPr="2030048C">
        <w:rPr>
          <w:rFonts w:ascii="Arial" w:eastAsia="Arial" w:hAnsi="Arial" w:cs="Arial"/>
          <w:sz w:val="22"/>
          <w:szCs w:val="22"/>
        </w:rPr>
        <w:t xml:space="preserve"> and </w:t>
      </w:r>
      <w:r w:rsidRPr="2030048C">
        <w:rPr>
          <w:rFonts w:ascii="Arial" w:eastAsia="Arial" w:hAnsi="Arial" w:cs="Arial"/>
          <w:i/>
          <w:iCs/>
          <w:sz w:val="22"/>
          <w:szCs w:val="22"/>
        </w:rPr>
        <w:t>pursuing</w:t>
      </w:r>
      <w:r w:rsidRPr="2030048C">
        <w:rPr>
          <w:rFonts w:ascii="Arial" w:eastAsia="Arial" w:hAnsi="Arial" w:cs="Arial"/>
          <w:sz w:val="22"/>
          <w:szCs w:val="22"/>
        </w:rPr>
        <w:t xml:space="preserve"> and </w:t>
      </w:r>
      <w:r w:rsidRPr="2030048C">
        <w:rPr>
          <w:rFonts w:ascii="Arial" w:eastAsia="Arial" w:hAnsi="Arial" w:cs="Arial"/>
          <w:i/>
          <w:iCs/>
          <w:sz w:val="22"/>
          <w:szCs w:val="22"/>
        </w:rPr>
        <w:t>producing</w:t>
      </w:r>
      <w:r w:rsidRPr="2030048C">
        <w:rPr>
          <w:rFonts w:ascii="Arial" w:eastAsia="Arial" w:hAnsi="Arial" w:cs="Arial"/>
          <w:sz w:val="22"/>
          <w:szCs w:val="22"/>
        </w:rPr>
        <w:t xml:space="preserve"> and </w:t>
      </w:r>
      <w:r w:rsidRPr="2030048C">
        <w:rPr>
          <w:rFonts w:ascii="Arial" w:eastAsia="Arial" w:hAnsi="Arial" w:cs="Arial"/>
          <w:i/>
          <w:iCs/>
          <w:sz w:val="22"/>
          <w:szCs w:val="22"/>
        </w:rPr>
        <w:t>authoring</w:t>
      </w:r>
      <w:r w:rsidRPr="2030048C">
        <w:rPr>
          <w:rFonts w:ascii="Arial" w:eastAsia="Arial" w:hAnsi="Arial" w:cs="Arial"/>
          <w:sz w:val="22"/>
          <w:szCs w:val="22"/>
        </w:rPr>
        <w:t xml:space="preserve">. These principles relate to the exploration of the discipline in response to questions, problems, </w:t>
      </w:r>
      <w:r w:rsidRPr="2030048C">
        <w:rPr>
          <w:rFonts w:ascii="Arial" w:eastAsia="Arial" w:hAnsi="Arial" w:cs="Arial"/>
          <w:sz w:val="22"/>
          <w:szCs w:val="22"/>
        </w:rPr>
        <w:t>scenarios</w:t>
      </w:r>
      <w:r w:rsidRPr="2030048C">
        <w:rPr>
          <w:rFonts w:ascii="Arial" w:eastAsia="Arial" w:hAnsi="Arial" w:cs="Arial"/>
          <w:sz w:val="22"/>
          <w:szCs w:val="22"/>
        </w:rPr>
        <w:t xml:space="preserve"> and lines of inquiry formulated by tutors and the progressive development of individual approaches based on the formulation of questions by the student. As the course progresses, this can also be expressed as the development from:</w:t>
      </w: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i/>
          <w:iCs/>
          <w:sz w:val="22"/>
          <w:szCs w:val="22"/>
        </w:rPr>
        <w:t xml:space="preserve">How can I answer </w:t>
      </w:r>
      <w:r w:rsidRPr="2030048C">
        <w:rPr>
          <w:rFonts w:ascii="Arial" w:eastAsia="Arial" w:hAnsi="Arial" w:cs="Arial"/>
          <w:b/>
          <w:bCs/>
          <w:i/>
          <w:iCs/>
          <w:sz w:val="22"/>
          <w:szCs w:val="22"/>
        </w:rPr>
        <w:t>this</w:t>
      </w:r>
      <w:r w:rsidRPr="2030048C">
        <w:rPr>
          <w:rFonts w:ascii="Arial" w:eastAsia="Arial" w:hAnsi="Arial" w:cs="Arial"/>
          <w:i/>
          <w:iCs/>
          <w:sz w:val="22"/>
          <w:szCs w:val="22"/>
        </w:rPr>
        <w:t xml:space="preserve"> question?</w:t>
      </w:r>
      <w:r w:rsidRPr="2030048C">
        <w:rPr>
          <w:rFonts w:ascii="Arial" w:eastAsia="Arial" w:hAnsi="Arial" w:cs="Arial"/>
          <w:sz w:val="22"/>
          <w:szCs w:val="22"/>
        </w:rPr>
        <w:t xml:space="preserve"> to </w:t>
      </w:r>
      <w:r w:rsidRPr="2030048C">
        <w:rPr>
          <w:rFonts w:ascii="Arial" w:eastAsia="Arial" w:hAnsi="Arial" w:cs="Arial"/>
          <w:i/>
          <w:iCs/>
          <w:sz w:val="22"/>
          <w:szCs w:val="22"/>
        </w:rPr>
        <w:t xml:space="preserve">How can I answer </w:t>
      </w:r>
      <w:r w:rsidRPr="2030048C">
        <w:rPr>
          <w:rFonts w:ascii="Arial" w:eastAsia="Arial" w:hAnsi="Arial" w:cs="Arial"/>
          <w:b/>
          <w:bCs/>
          <w:i/>
          <w:iCs/>
          <w:sz w:val="22"/>
          <w:szCs w:val="22"/>
        </w:rPr>
        <w:t>my</w:t>
      </w:r>
      <w:r w:rsidRPr="2030048C">
        <w:rPr>
          <w:rFonts w:ascii="Arial" w:eastAsia="Arial" w:hAnsi="Arial" w:cs="Arial"/>
          <w:i/>
          <w:iCs/>
          <w:sz w:val="22"/>
          <w:szCs w:val="22"/>
        </w:rPr>
        <w:t xml:space="preserve"> question?</w:t>
      </w: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identity and structure of the course are built upon the understanding that high quality and transformative learning occurs when students are: </w:t>
      </w:r>
    </w:p>
    <w:p w:rsidRPr="2030048C" w:rsidP="2030048C">
      <w:pPr>
        <w:pStyle w:val="li0"/>
        <w:numPr>
          <w:ilvl w:val="0"/>
          <w:numId w:val="25"/>
        </w:numPr>
        <w:pBdr>
          <w:left w:val="none" w:sz="0" w:space="11" w:color="auto"/>
        </w:pBdr>
        <w:spacing w:before="0" w:after="0" w:line="276" w:lineRule="auto"/>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 xml:space="preserve">Engaged in authentic, challenging, enquiry-based activities. </w:t>
      </w:r>
    </w:p>
    <w:p w:rsidRPr="2030048C" w:rsidP="2030048C">
      <w:pPr>
        <w:pStyle w:val="li0"/>
        <w:numPr>
          <w:ilvl w:val="0"/>
          <w:numId w:val="25"/>
        </w:numPr>
        <w:pBdr>
          <w:left w:val="none" w:sz="0" w:space="11" w:color="auto"/>
        </w:pBdr>
        <w:spacing w:before="0" w:after="0" w:line="276" w:lineRule="auto"/>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Working collaboratively with peers in a community of shared disciplinary and interdisciplinary practice.</w:t>
      </w:r>
    </w:p>
    <w:p w:rsidRPr="2030048C" w:rsidP="2030048C">
      <w:pPr>
        <w:pStyle w:val="li0"/>
        <w:numPr>
          <w:ilvl w:val="0"/>
          <w:numId w:val="25"/>
        </w:numPr>
        <w:pBdr>
          <w:left w:val="none" w:sz="0" w:space="11" w:color="auto"/>
        </w:pBdr>
        <w:spacing w:before="0" w:after="0" w:line="276" w:lineRule="auto"/>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Able to reflect on and theorise their learning.</w:t>
      </w:r>
    </w:p>
    <w:p w:rsidRPr="2030048C" w:rsidP="2030048C">
      <w:pPr>
        <w:pStyle w:val="p"/>
        <w:spacing w:before="0" w:after="0" w:line="276" w:lineRule="auto"/>
        <w:ind w:left="426" w:right="0"/>
        <w:jc w:val="both"/>
        <w:rPr>
          <w:rFonts w:ascii="Arial" w:eastAsia="Arial" w:hAnsi="Arial" w:cs="Arial"/>
          <w:sz w:val="22"/>
          <w:szCs w:val="22"/>
        </w:rPr>
      </w:pP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This has informed the development of shared learning outcomes across the courses within the PG framework and the focus of these outcomes on the practice of research and its relationship to purposeful making and enquiry in design.</w:t>
      </w: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teaching and learning of practical digital media projects </w:t>
      </w:r>
      <w:r w:rsidRPr="2030048C">
        <w:rPr>
          <w:rFonts w:ascii="Arial" w:eastAsia="Arial" w:hAnsi="Arial" w:cs="Arial"/>
          <w:sz w:val="22"/>
          <w:szCs w:val="22"/>
        </w:rPr>
        <w:t>incorporates</w:t>
      </w:r>
      <w:r w:rsidRPr="2030048C">
        <w:rPr>
          <w:rFonts w:ascii="Arial" w:eastAsia="Arial" w:hAnsi="Arial" w:cs="Arial"/>
          <w:sz w:val="22"/>
          <w:szCs w:val="22"/>
        </w:rPr>
        <w:t>:</w:t>
      </w:r>
    </w:p>
    <w:p w:rsidRPr="2030048C" w:rsidP="2030048C">
      <w:pPr>
        <w:pStyle w:val="p"/>
        <w:spacing w:before="0" w:after="0" w:line="276" w:lineRule="auto"/>
        <w:ind w:left="0" w:right="0"/>
        <w:jc w:val="both"/>
        <w:rPr>
          <w:rFonts w:ascii="Arial" w:eastAsia="Arial" w:hAnsi="Arial" w:cs="Arial"/>
          <w:sz w:val="22"/>
          <w:szCs w:val="22"/>
        </w:rPr>
      </w:pP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 Analysis of the project brief, research and insight gathering in to the ‘theme’ </w:t>
      </w: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or objective and subsequent problem finding for problem solving.</w:t>
      </w: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Analysis of context.</w:t>
      </w: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Tools and strategies for creative problem solving and the idea development process.</w:t>
      </w: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 The promotion of workshop practices and creative material usage and manipulation. </w:t>
      </w: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Teaching communication and presentation tools and techniques.</w:t>
      </w: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 Teaching digital tools for design and realisation </w:t>
      </w: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 Tutorials, lectures, </w:t>
      </w:r>
      <w:r w:rsidRPr="2030048C">
        <w:rPr>
          <w:rFonts w:ascii="Arial" w:eastAsia="Arial" w:hAnsi="Arial" w:cs="Arial"/>
          <w:sz w:val="22"/>
          <w:szCs w:val="22"/>
        </w:rPr>
        <w:t>seminars</w:t>
      </w:r>
      <w:r w:rsidRPr="2030048C">
        <w:rPr>
          <w:rFonts w:ascii="Arial" w:eastAsia="Arial" w:hAnsi="Arial" w:cs="Arial"/>
          <w:sz w:val="22"/>
          <w:szCs w:val="22"/>
        </w:rPr>
        <w:t xml:space="preserve"> and workshops </w:t>
      </w: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 Developing </w:t>
      </w:r>
      <w:r w:rsidRPr="2030048C">
        <w:rPr>
          <w:rFonts w:ascii="Arial" w:eastAsia="Arial" w:hAnsi="Arial" w:cs="Arial"/>
          <w:sz w:val="22"/>
          <w:szCs w:val="22"/>
        </w:rPr>
        <w:t>students</w:t>
      </w:r>
      <w:r w:rsidRPr="2030048C">
        <w:rPr>
          <w:rFonts w:ascii="Arial" w:eastAsia="Arial" w:hAnsi="Arial" w:cs="Arial"/>
          <w:sz w:val="22"/>
          <w:szCs w:val="22"/>
        </w:rPr>
        <w:t xml:space="preserve"> ability to confidently communicate orally</w:t>
      </w: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Project reviews and critiques to promote peer project discussion and debate.</w:t>
      </w: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 Encouraging within </w:t>
      </w:r>
      <w:r w:rsidRPr="2030048C">
        <w:rPr>
          <w:rFonts w:ascii="Arial" w:eastAsia="Arial" w:hAnsi="Arial" w:cs="Arial"/>
          <w:sz w:val="22"/>
          <w:szCs w:val="22"/>
        </w:rPr>
        <w:t>students</w:t>
      </w:r>
      <w:r w:rsidRPr="2030048C">
        <w:rPr>
          <w:rFonts w:ascii="Arial" w:eastAsia="Arial" w:hAnsi="Arial" w:cs="Arial"/>
          <w:sz w:val="22"/>
          <w:szCs w:val="22"/>
        </w:rPr>
        <w:t xml:space="preserve"> self-reflection and self-criticism in relation to a sustainable media practice.</w:t>
      </w:r>
    </w:p>
    <w:p w:rsidRPr="2030048C" w:rsidP="2030048C">
      <w:pPr>
        <w:pStyle w:val="p"/>
        <w:spacing w:before="0" w:after="0" w:line="276" w:lineRule="auto"/>
        <w:ind w:left="0" w:right="0"/>
        <w:jc w:val="both"/>
        <w:rPr>
          <w:rFonts w:ascii="Arial" w:eastAsia="Arial" w:hAnsi="Arial" w:cs="Arial"/>
          <w:sz w:val="22"/>
          <w:szCs w:val="22"/>
        </w:rPr>
      </w:pP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continual and iterative nature of the making process requires a continual process of formative assessment and feedback </w:t>
      </w:r>
      <w:r w:rsidRPr="2030048C">
        <w:rPr>
          <w:rFonts w:ascii="Arial" w:eastAsia="Arial" w:hAnsi="Arial" w:cs="Arial"/>
          <w:sz w:val="22"/>
          <w:szCs w:val="22"/>
        </w:rPr>
        <w:t>through the use of</w:t>
      </w:r>
      <w:r w:rsidRPr="2030048C">
        <w:rPr>
          <w:rFonts w:ascii="Arial" w:eastAsia="Arial" w:hAnsi="Arial" w:cs="Arial"/>
          <w:sz w:val="22"/>
          <w:szCs w:val="22"/>
        </w:rPr>
        <w:t xml:space="preserve"> studio tutorials, reviews and group critiques. Summative assessment at the end of the module and formal feedback is provided following review of the submitted/presented project work. Summative assessment at the end of the course is based on the final project module.</w:t>
      </w:r>
    </w:p>
    <w:p w:rsidRPr="2030048C" w:rsidP="2030048C">
      <w:pPr>
        <w:pStyle w:val="p"/>
        <w:spacing w:before="0" w:after="0" w:line="276" w:lineRule="auto"/>
        <w:ind w:left="0" w:right="0"/>
        <w:jc w:val="both"/>
        <w:rPr>
          <w:rFonts w:ascii="Arial" w:eastAsia="Arial" w:hAnsi="Arial" w:cs="Arial"/>
          <w:sz w:val="22"/>
          <w:szCs w:val="22"/>
        </w:rPr>
      </w:pP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Course is designed to give students a balance of theoretical and practical experience.</w:t>
      </w:r>
      <w:r w:rsidRPr="2030048C">
        <w:rPr>
          <w:rFonts w:ascii="Arial" w:eastAsia="Arial" w:hAnsi="Arial" w:cs="Arial"/>
          <w:sz w:val="22"/>
          <w:szCs w:val="22"/>
        </w:rPr>
        <w:t xml:space="preserve">  </w:t>
      </w:r>
      <w:r w:rsidRPr="2030048C">
        <w:rPr>
          <w:rFonts w:ascii="Arial" w:eastAsia="Arial" w:hAnsi="Arial" w:cs="Arial"/>
          <w:sz w:val="22"/>
          <w:szCs w:val="22"/>
        </w:rPr>
        <w:t xml:space="preserve">Formal lectures are used </w:t>
      </w:r>
      <w:r w:rsidRPr="2030048C">
        <w:rPr>
          <w:rFonts w:ascii="Arial" w:eastAsia="Arial" w:hAnsi="Arial" w:cs="Arial"/>
          <w:sz w:val="22"/>
          <w:szCs w:val="22"/>
        </w:rPr>
        <w:t>in order to</w:t>
      </w:r>
      <w:r w:rsidRPr="2030048C">
        <w:rPr>
          <w:rFonts w:ascii="Arial" w:eastAsia="Arial" w:hAnsi="Arial" w:cs="Arial"/>
          <w:sz w:val="22"/>
          <w:szCs w:val="22"/>
        </w:rPr>
        <w:t xml:space="preserve"> give the students a good background understanding in the area and to develop the theoretical aspects. These are then often reinforced by practical sessions and/or industry specialists who contribute throughout the course </w:t>
      </w:r>
      <w:r w:rsidRPr="2030048C">
        <w:rPr>
          <w:rFonts w:ascii="Arial" w:eastAsia="Arial" w:hAnsi="Arial" w:cs="Arial"/>
          <w:sz w:val="22"/>
          <w:szCs w:val="22"/>
        </w:rPr>
        <w:t>in order to</w:t>
      </w:r>
      <w:r w:rsidRPr="2030048C">
        <w:rPr>
          <w:rFonts w:ascii="Arial" w:eastAsia="Arial" w:hAnsi="Arial" w:cs="Arial"/>
          <w:sz w:val="22"/>
          <w:szCs w:val="22"/>
        </w:rPr>
        <w:t xml:space="preserve"> give informative insight into industry developments.</w:t>
      </w:r>
    </w:p>
    <w:p w:rsidRPr="2030048C" w:rsidP="2030048C">
      <w:pPr>
        <w:pStyle w:val="p"/>
        <w:spacing w:before="0" w:after="0" w:line="276" w:lineRule="auto"/>
        <w:ind w:left="0" w:right="0"/>
        <w:jc w:val="both"/>
        <w:rPr>
          <w:rFonts w:ascii="Arial" w:eastAsia="Arial" w:hAnsi="Arial" w:cs="Arial"/>
          <w:sz w:val="22"/>
          <w:szCs w:val="22"/>
        </w:rPr>
      </w:pP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practical workshops, open forums, newswires (</w:t>
      </w:r>
      <w:r w:rsidRPr="2030048C">
        <w:rPr>
          <w:rFonts w:ascii="Arial" w:eastAsia="Arial" w:hAnsi="Arial" w:cs="Arial"/>
          <w:sz w:val="22"/>
          <w:szCs w:val="22"/>
        </w:rPr>
        <w:t>e.g.</w:t>
      </w:r>
      <w:r w:rsidRPr="2030048C">
        <w:rPr>
          <w:rFonts w:ascii="Arial" w:eastAsia="Arial" w:hAnsi="Arial" w:cs="Arial"/>
          <w:sz w:val="22"/>
          <w:szCs w:val="22"/>
        </w:rPr>
        <w:t xml:space="preserve"> CBDiForum, earthweb, ebiz) and group presentations are introduced into the modules to provide students with a detailed understanding of the approaches taken in industry. </w:t>
      </w:r>
    </w:p>
    <w:p w:rsidRPr="2030048C" w:rsidP="2030048C">
      <w:pPr>
        <w:pStyle w:val="p"/>
        <w:spacing w:before="0" w:after="0" w:line="276" w:lineRule="auto"/>
        <w:ind w:left="0" w:right="0"/>
        <w:jc w:val="both"/>
        <w:rPr>
          <w:rFonts w:ascii="Arial" w:eastAsia="Arial" w:hAnsi="Arial" w:cs="Arial"/>
          <w:sz w:val="22"/>
          <w:szCs w:val="22"/>
        </w:rPr>
      </w:pP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course gives students the specialised knowledge, tools and techniques and explores with them methods for extracting and synthesising information. However, in order for the students to gain from the course they must draw on the taught material and the experience gained from the </w:t>
      </w:r>
      <w:r w:rsidRPr="2030048C">
        <w:rPr>
          <w:rFonts w:ascii="Arial" w:eastAsia="Arial" w:hAnsi="Arial" w:cs="Arial"/>
          <w:sz w:val="22"/>
          <w:szCs w:val="22"/>
        </w:rPr>
        <w:t>practicals</w:t>
      </w:r>
      <w:r w:rsidRPr="2030048C">
        <w:rPr>
          <w:rFonts w:ascii="Arial" w:eastAsia="Arial" w:hAnsi="Arial" w:cs="Arial"/>
          <w:sz w:val="22"/>
          <w:szCs w:val="22"/>
        </w:rPr>
        <w:t xml:space="preserve"> and case studies embedded within most modules.</w:t>
      </w:r>
      <w:r w:rsidRPr="2030048C">
        <w:rPr>
          <w:rFonts w:ascii="Arial" w:eastAsia="Arial" w:hAnsi="Arial" w:cs="Arial"/>
          <w:sz w:val="22"/>
          <w:szCs w:val="22"/>
        </w:rPr>
        <w:t xml:space="preserve">  </w:t>
      </w:r>
    </w:p>
    <w:p w:rsidRPr="2030048C" w:rsidP="2030048C">
      <w:pPr>
        <w:pStyle w:val="p"/>
        <w:spacing w:before="0" w:after="0" w:line="276" w:lineRule="auto"/>
        <w:ind w:left="0" w:right="0"/>
        <w:jc w:val="both"/>
        <w:rPr>
          <w:rFonts w:ascii="Arial" w:eastAsia="Arial" w:hAnsi="Arial" w:cs="Arial"/>
          <w:sz w:val="22"/>
          <w:szCs w:val="22"/>
        </w:rPr>
      </w:pP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student is then required to further explore and exploit the information given in the modules through guided self study which will require them to research and define the outcomes accurately and produce detailed solutions and innovative work.</w:t>
      </w:r>
      <w:r w:rsidRPr="2030048C">
        <w:rPr>
          <w:rFonts w:ascii="Arial" w:eastAsia="Arial" w:hAnsi="Arial" w:cs="Arial"/>
          <w:sz w:val="22"/>
          <w:szCs w:val="22"/>
        </w:rPr>
        <w:t xml:space="preserve">  </w:t>
      </w:r>
      <w:r w:rsidRPr="2030048C">
        <w:rPr>
          <w:rFonts w:ascii="Arial" w:eastAsia="Arial" w:hAnsi="Arial" w:cs="Arial"/>
          <w:sz w:val="22"/>
          <w:szCs w:val="22"/>
        </w:rPr>
        <w:t xml:space="preserve">This work is designed to enable the students to build up their competencies in research and in writing reports and will enable them to further develop this expertise </w:t>
      </w:r>
      <w:r w:rsidRPr="2030048C">
        <w:rPr>
          <w:rFonts w:ascii="Arial" w:eastAsia="Arial" w:hAnsi="Arial" w:cs="Arial"/>
          <w:sz w:val="22"/>
          <w:szCs w:val="22"/>
        </w:rPr>
        <w:t>in order for</w:t>
      </w:r>
      <w:r w:rsidRPr="2030048C">
        <w:rPr>
          <w:rFonts w:ascii="Arial" w:eastAsia="Arial" w:hAnsi="Arial" w:cs="Arial"/>
          <w:sz w:val="22"/>
          <w:szCs w:val="22"/>
        </w:rPr>
        <w:t xml:space="preserve"> them to produce their project dissertation. </w:t>
      </w:r>
    </w:p>
    <w:p w:rsidRPr="2030048C" w:rsidP="2030048C">
      <w:pPr>
        <w:pStyle w:val="p"/>
        <w:spacing w:before="0" w:after="0" w:line="276" w:lineRule="auto"/>
        <w:ind w:left="0" w:right="0"/>
        <w:jc w:val="both"/>
        <w:rPr>
          <w:rFonts w:ascii="Arial" w:eastAsia="Arial" w:hAnsi="Arial" w:cs="Arial"/>
          <w:sz w:val="22"/>
          <w:szCs w:val="22"/>
        </w:rPr>
      </w:pP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It is recognised that team working is a very important aspect in </w:t>
      </w:r>
      <w:r w:rsidRPr="2030048C">
        <w:rPr>
          <w:rFonts w:ascii="Arial" w:eastAsia="Arial" w:hAnsi="Arial" w:cs="Arial"/>
          <w:sz w:val="22"/>
          <w:szCs w:val="22"/>
        </w:rPr>
        <w:t>industry</w:t>
      </w:r>
      <w:r w:rsidRPr="2030048C">
        <w:rPr>
          <w:rFonts w:ascii="Arial" w:eastAsia="Arial" w:hAnsi="Arial" w:cs="Arial"/>
          <w:sz w:val="22"/>
          <w:szCs w:val="22"/>
        </w:rPr>
        <w:t xml:space="preserve"> and this is reflected during the modules. The course ensures that the students are exposed to team working through group presentations, joint report writing, joint research and lab work. </w:t>
      </w: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course team are aware of the need for effective communication, both written and verbal, and the course prides itself on preparing the students for their </w:t>
      </w:r>
      <w:r w:rsidRPr="2030048C">
        <w:rPr>
          <w:rFonts w:ascii="Arial" w:eastAsia="Arial" w:hAnsi="Arial" w:cs="Arial"/>
          <w:sz w:val="22"/>
          <w:szCs w:val="22"/>
        </w:rPr>
        <w:t>longer term</w:t>
      </w:r>
      <w:r w:rsidRPr="2030048C">
        <w:rPr>
          <w:rFonts w:ascii="Arial" w:eastAsia="Arial" w:hAnsi="Arial" w:cs="Arial"/>
          <w:sz w:val="22"/>
          <w:szCs w:val="22"/>
        </w:rPr>
        <w:t xml:space="preserve"> career plans and CPD.</w:t>
      </w:r>
      <w:r w:rsidRPr="2030048C">
        <w:rPr>
          <w:rFonts w:ascii="Arial" w:eastAsia="Arial" w:hAnsi="Arial" w:cs="Arial"/>
          <w:sz w:val="22"/>
          <w:szCs w:val="22"/>
        </w:rPr>
        <w:t xml:space="preserve">  </w:t>
      </w:r>
      <w:r w:rsidRPr="2030048C">
        <w:rPr>
          <w:rFonts w:ascii="Arial" w:eastAsia="Arial" w:hAnsi="Arial" w:cs="Arial"/>
          <w:sz w:val="22"/>
          <w:szCs w:val="22"/>
        </w:rPr>
        <w:t xml:space="preserve">Apart from the project itself, each student </w:t>
      </w:r>
      <w:r w:rsidRPr="2030048C">
        <w:rPr>
          <w:rFonts w:ascii="Arial" w:eastAsia="Arial" w:hAnsi="Arial" w:cs="Arial"/>
          <w:sz w:val="22"/>
          <w:szCs w:val="22"/>
        </w:rPr>
        <w:t>has to</w:t>
      </w:r>
      <w:r w:rsidRPr="2030048C">
        <w:rPr>
          <w:rFonts w:ascii="Arial" w:eastAsia="Arial" w:hAnsi="Arial" w:cs="Arial"/>
          <w:sz w:val="22"/>
          <w:szCs w:val="22"/>
        </w:rPr>
        <w:t xml:space="preserve"> give verbal presentations during the modules, normally to the student’s peer group and module leader.</w:t>
      </w:r>
      <w:r w:rsidRPr="2030048C">
        <w:rPr>
          <w:rFonts w:ascii="Arial" w:eastAsia="Arial" w:hAnsi="Arial" w:cs="Arial"/>
          <w:sz w:val="22"/>
          <w:szCs w:val="22"/>
        </w:rPr>
        <w:t xml:space="preserve">  </w:t>
      </w:r>
      <w:r w:rsidRPr="2030048C">
        <w:rPr>
          <w:rFonts w:ascii="Arial" w:eastAsia="Arial" w:hAnsi="Arial" w:cs="Arial"/>
          <w:sz w:val="22"/>
          <w:szCs w:val="22"/>
        </w:rPr>
        <w:t>Students are also helped with verbal communication skills through discussion groups. Many modules are assessed by written assignments that are designed to improve students’ research and evaluation skills.</w:t>
      </w:r>
    </w:p>
    <w:p w:rsidRPr="2030048C" w:rsidP="2030048C">
      <w:pPr>
        <w:pStyle w:val="p"/>
        <w:spacing w:before="0" w:after="0" w:line="276" w:lineRule="auto"/>
        <w:ind w:left="0" w:right="0"/>
        <w:rPr>
          <w:rFonts w:ascii="Times New Roman" w:eastAsia="Times New Roman" w:hAnsi="Times New Roman" w:cs="Times New Roman"/>
          <w:sz w:val="22"/>
          <w:szCs w:val="22"/>
        </w:rPr>
      </w:pPr>
      <w:r w:rsidRPr="2030048C">
        <w:rPr>
          <w:rFonts w:ascii="Arial" w:eastAsia="Arial" w:hAnsi="Arial" w:cs="Arial"/>
          <w:sz w:val="22"/>
          <w:szCs w:val="22"/>
        </w:rPr>
        <w:t xml:space="preserve">Students will be given close guidance to select a project that is relevant to their background and specialisation. During the project, the student will be expected to apply the knowledge that he/she has learnt during the course </w:t>
      </w:r>
      <w:r w:rsidRPr="2030048C">
        <w:rPr>
          <w:rFonts w:ascii="Arial" w:eastAsia="Arial" w:hAnsi="Arial" w:cs="Arial"/>
          <w:sz w:val="22"/>
          <w:szCs w:val="22"/>
        </w:rPr>
        <w:t>in order to</w:t>
      </w:r>
      <w:r w:rsidRPr="2030048C">
        <w:rPr>
          <w:rFonts w:ascii="Arial" w:eastAsia="Arial" w:hAnsi="Arial" w:cs="Arial"/>
          <w:sz w:val="22"/>
          <w:szCs w:val="22"/>
        </w:rPr>
        <w:t xml:space="preserve"> achieve a deliverable whilst satisfying any given constraints. Key skills in communication, presentation, literature search, problem analysis, project planning, report </w:t>
      </w:r>
      <w:r w:rsidRPr="2030048C">
        <w:rPr>
          <w:rFonts w:ascii="Arial" w:eastAsia="Arial" w:hAnsi="Arial" w:cs="Arial"/>
          <w:sz w:val="22"/>
          <w:szCs w:val="22"/>
        </w:rPr>
        <w:t>writing</w:t>
      </w:r>
      <w:r w:rsidRPr="2030048C">
        <w:rPr>
          <w:rFonts w:ascii="Arial" w:eastAsia="Arial" w:hAnsi="Arial" w:cs="Arial"/>
          <w:sz w:val="22"/>
          <w:szCs w:val="22"/>
        </w:rPr>
        <w:t xml:space="preserve"> and solution justification are all part of the learning outcomes defined in this course.</w:t>
      </w:r>
    </w:p>
    <w:p w:rsidRPr="2030048C" w:rsidP="2030048C">
      <w:pPr>
        <w:pStyle w:val="p"/>
        <w:spacing w:before="0" w:after="0" w:line="276" w:lineRule="auto"/>
        <w:ind w:left="0" w:right="0"/>
        <w:rPr>
          <w:rFonts w:ascii="Arial" w:eastAsia="Arial" w:hAnsi="Arial" w:cs="Arial"/>
          <w:sz w:val="22"/>
          <w:szCs w:val="22"/>
        </w:rPr>
      </w:pPr>
    </w:p>
    <w:p w:rsidRPr="2030048C" w:rsidP="2030048C">
      <w:pPr>
        <w:pStyle w:val="p"/>
        <w:spacing w:before="0" w:after="0" w:line="276" w:lineRule="auto"/>
        <w:ind w:left="0" w:right="0"/>
        <w:rPr>
          <w:rFonts w:ascii="Arial" w:eastAsia="Arial" w:hAnsi="Arial" w:cs="Arial"/>
          <w:sz w:val="22"/>
          <w:szCs w:val="22"/>
        </w:rPr>
      </w:pP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b/>
          <w:bCs/>
          <w:sz w:val="22"/>
          <w:szCs w:val="22"/>
        </w:rPr>
        <w:t>Contact Time</w:t>
      </w: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In addition to these there are daily drop-in sessions at the School’s Academic Skills Centre where support is provided on a one-to-one basis. </w:t>
      </w: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Typically contact time with students consists of:</w:t>
      </w:r>
    </w:p>
    <w:p w:rsidRPr="2030048C" w:rsidP="2030048C">
      <w:pPr>
        <w:pStyle w:val="cHons"/>
        <w:spacing w:before="0" w:after="0" w:line="276" w:lineRule="auto"/>
        <w:ind w:left="0" w:right="0"/>
        <w:jc w:val="both"/>
        <w:rPr>
          <w:rFonts w:ascii="Times New Roman" w:eastAsia="Times New Roman" w:hAnsi="Times New Roman" w:cs="Times New Roman"/>
          <w:b/>
          <w:bCs/>
          <w:sz w:val="22"/>
          <w:szCs w:val="22"/>
        </w:rPr>
      </w:pPr>
      <w:r w:rsidRPr="2030048C">
        <w:rPr>
          <w:rFonts w:ascii="Arial" w:eastAsia="Arial" w:hAnsi="Arial" w:cs="Arial"/>
          <w:b w:val="0"/>
          <w:bCs w:val="0"/>
          <w:sz w:val="22"/>
          <w:szCs w:val="22"/>
        </w:rPr>
        <w:t>Formal lectures:</w:t>
      </w:r>
    </w:p>
    <w:p w:rsidRPr="2030048C" w:rsidP="2030048C">
      <w:pPr>
        <w:pStyle w:val="cHons"/>
        <w:numPr>
          <w:ilvl w:val="0"/>
          <w:numId w:val="26"/>
        </w:numPr>
        <w:pBdr>
          <w:left w:val="none" w:sz="0" w:space="6" w:color="auto"/>
        </w:pBdr>
        <w:spacing w:before="0" w:after="0" w:line="276" w:lineRule="auto"/>
        <w:ind w:left="1440" w:right="0" w:hanging="488"/>
        <w:jc w:val="both"/>
        <w:rPr>
          <w:rFonts w:ascii="Times New Roman" w:eastAsia="Times New Roman" w:hAnsi="Times New Roman" w:cs="Times New Roman"/>
          <w:b w:val="0"/>
          <w:bCs w:val="0"/>
          <w:sz w:val="22"/>
          <w:szCs w:val="22"/>
        </w:rPr>
      </w:pPr>
      <w:r w:rsidRPr="2030048C">
        <w:rPr>
          <w:rFonts w:ascii="Arial" w:eastAsia="Arial" w:hAnsi="Arial" w:cs="Arial"/>
          <w:b w:val="0"/>
          <w:bCs w:val="0"/>
          <w:sz w:val="22"/>
          <w:szCs w:val="22"/>
        </w:rPr>
        <w:t>Face-to-face</w:t>
      </w:r>
    </w:p>
    <w:p w:rsidRPr="2030048C" w:rsidP="2030048C">
      <w:pPr>
        <w:pStyle w:val="cHons"/>
        <w:numPr>
          <w:ilvl w:val="0"/>
          <w:numId w:val="26"/>
        </w:numPr>
        <w:pBdr>
          <w:left w:val="none" w:sz="0" w:space="6" w:color="auto"/>
        </w:pBdr>
        <w:spacing w:before="0" w:after="0" w:line="276" w:lineRule="auto"/>
        <w:ind w:left="1440" w:right="0" w:hanging="488"/>
        <w:jc w:val="both"/>
        <w:rPr>
          <w:rFonts w:ascii="Times New Roman" w:eastAsia="Times New Roman" w:hAnsi="Times New Roman" w:cs="Times New Roman"/>
          <w:b w:val="0"/>
          <w:bCs w:val="0"/>
          <w:sz w:val="22"/>
          <w:szCs w:val="22"/>
        </w:rPr>
      </w:pPr>
      <w:r w:rsidRPr="2030048C">
        <w:rPr>
          <w:rFonts w:ascii="Arial" w:eastAsia="Arial" w:hAnsi="Arial" w:cs="Arial"/>
          <w:b w:val="0"/>
          <w:bCs w:val="0"/>
          <w:sz w:val="22"/>
          <w:szCs w:val="22"/>
        </w:rPr>
        <w:t xml:space="preserve">Video or audio lectures, upload or </w:t>
      </w:r>
      <w:r w:rsidRPr="2030048C">
        <w:rPr>
          <w:rFonts w:ascii="Arial" w:eastAsia="Arial" w:hAnsi="Arial" w:cs="Arial"/>
          <w:b w:val="0"/>
          <w:bCs w:val="0"/>
          <w:sz w:val="22"/>
          <w:szCs w:val="22"/>
        </w:rPr>
        <w:t>web-cast</w:t>
      </w:r>
    </w:p>
    <w:p w:rsidRPr="2030048C" w:rsidP="2030048C">
      <w:pPr>
        <w:pStyle w:val="cHons"/>
        <w:numPr>
          <w:ilvl w:val="0"/>
          <w:numId w:val="26"/>
        </w:numPr>
        <w:pBdr>
          <w:left w:val="none" w:sz="0" w:space="6" w:color="auto"/>
        </w:pBdr>
        <w:spacing w:before="0" w:after="0" w:line="276" w:lineRule="auto"/>
        <w:ind w:left="1440" w:right="0" w:hanging="488"/>
        <w:jc w:val="both"/>
        <w:rPr>
          <w:rFonts w:ascii="Times New Roman" w:eastAsia="Times New Roman" w:hAnsi="Times New Roman" w:cs="Times New Roman"/>
          <w:b w:val="0"/>
          <w:bCs w:val="0"/>
          <w:sz w:val="22"/>
          <w:szCs w:val="22"/>
        </w:rPr>
      </w:pPr>
      <w:r w:rsidRPr="2030048C">
        <w:rPr>
          <w:rFonts w:ascii="Arial" w:eastAsia="Arial" w:hAnsi="Arial" w:cs="Arial"/>
          <w:b w:val="0"/>
          <w:bCs w:val="0"/>
          <w:sz w:val="22"/>
          <w:szCs w:val="22"/>
        </w:rPr>
        <w:t>Computer workshops/laboratories:</w:t>
      </w:r>
    </w:p>
    <w:p w:rsidRPr="2030048C" w:rsidP="2030048C">
      <w:pPr>
        <w:pStyle w:val="cHons"/>
        <w:numPr>
          <w:ilvl w:val="0"/>
          <w:numId w:val="26"/>
        </w:numPr>
        <w:pBdr>
          <w:left w:val="none" w:sz="0" w:space="6" w:color="auto"/>
        </w:pBdr>
        <w:spacing w:before="0" w:after="0" w:line="276" w:lineRule="auto"/>
        <w:ind w:left="1440" w:right="0" w:hanging="488"/>
        <w:jc w:val="both"/>
        <w:rPr>
          <w:rFonts w:ascii="Times New Roman" w:eastAsia="Times New Roman" w:hAnsi="Times New Roman" w:cs="Times New Roman"/>
          <w:b w:val="0"/>
          <w:bCs w:val="0"/>
          <w:sz w:val="22"/>
          <w:szCs w:val="22"/>
        </w:rPr>
      </w:pPr>
      <w:r w:rsidRPr="2030048C">
        <w:rPr>
          <w:rFonts w:ascii="Arial" w:eastAsia="Arial" w:hAnsi="Arial" w:cs="Arial"/>
          <w:b w:val="0"/>
          <w:bCs w:val="0"/>
          <w:sz w:val="22"/>
          <w:szCs w:val="22"/>
        </w:rPr>
        <w:t xml:space="preserve">Individual projects </w:t>
      </w:r>
    </w:p>
    <w:p w:rsidRPr="2030048C" w:rsidP="2030048C">
      <w:pPr>
        <w:pStyle w:val="cHons"/>
        <w:numPr>
          <w:ilvl w:val="0"/>
          <w:numId w:val="26"/>
        </w:numPr>
        <w:pBdr>
          <w:left w:val="none" w:sz="0" w:space="6" w:color="auto"/>
        </w:pBdr>
        <w:spacing w:before="0" w:after="0" w:line="276" w:lineRule="auto"/>
        <w:ind w:left="1440" w:right="0" w:hanging="488"/>
        <w:jc w:val="both"/>
        <w:rPr>
          <w:rFonts w:ascii="Times New Roman" w:eastAsia="Times New Roman" w:hAnsi="Times New Roman" w:cs="Times New Roman"/>
          <w:b w:val="0"/>
          <w:bCs w:val="0"/>
          <w:sz w:val="22"/>
          <w:szCs w:val="22"/>
        </w:rPr>
      </w:pPr>
      <w:r w:rsidRPr="2030048C">
        <w:rPr>
          <w:rFonts w:ascii="Arial" w:eastAsia="Arial" w:hAnsi="Arial" w:cs="Arial"/>
          <w:b w:val="0"/>
          <w:bCs w:val="0"/>
          <w:sz w:val="22"/>
          <w:szCs w:val="22"/>
        </w:rPr>
        <w:t>Group projects</w:t>
      </w:r>
    </w:p>
    <w:p w:rsidRPr="2030048C" w:rsidP="2030048C">
      <w:pPr>
        <w:pStyle w:val="cHons"/>
        <w:spacing w:before="0" w:after="0" w:line="276" w:lineRule="auto"/>
        <w:ind w:left="0" w:right="0"/>
        <w:jc w:val="both"/>
        <w:rPr>
          <w:rFonts w:ascii="Times New Roman" w:eastAsia="Times New Roman" w:hAnsi="Times New Roman" w:cs="Times New Roman"/>
          <w:b/>
          <w:bCs/>
          <w:sz w:val="22"/>
          <w:szCs w:val="22"/>
        </w:rPr>
      </w:pPr>
      <w:r w:rsidRPr="2030048C">
        <w:rPr>
          <w:rFonts w:ascii="Arial" w:eastAsia="Arial" w:hAnsi="Arial" w:cs="Arial"/>
          <w:b w:val="0"/>
          <w:bCs w:val="0"/>
          <w:sz w:val="22"/>
          <w:szCs w:val="22"/>
        </w:rPr>
        <w:t>Seminars</w:t>
      </w:r>
    </w:p>
    <w:p w:rsidRPr="2030048C" w:rsidP="2030048C">
      <w:pPr>
        <w:pStyle w:val="cHons"/>
        <w:spacing w:before="0" w:after="0" w:line="276" w:lineRule="auto"/>
        <w:ind w:left="0" w:right="0"/>
        <w:jc w:val="both"/>
        <w:rPr>
          <w:rFonts w:ascii="Times New Roman" w:eastAsia="Times New Roman" w:hAnsi="Times New Roman" w:cs="Times New Roman"/>
          <w:b/>
          <w:bCs/>
          <w:sz w:val="22"/>
          <w:szCs w:val="22"/>
        </w:rPr>
      </w:pPr>
      <w:r w:rsidRPr="2030048C">
        <w:rPr>
          <w:rFonts w:ascii="Arial" w:eastAsia="Arial" w:hAnsi="Arial" w:cs="Arial"/>
          <w:b w:val="0"/>
          <w:bCs w:val="0"/>
          <w:sz w:val="22"/>
          <w:szCs w:val="22"/>
        </w:rPr>
        <w:t>Problem solving classes</w:t>
      </w:r>
    </w:p>
    <w:p w:rsidRPr="2030048C" w:rsidP="2030048C">
      <w:pPr>
        <w:pStyle w:val="cHons"/>
        <w:spacing w:before="0" w:after="0" w:line="276" w:lineRule="auto"/>
        <w:ind w:left="0" w:right="0"/>
        <w:jc w:val="both"/>
        <w:rPr>
          <w:rFonts w:ascii="Times New Roman" w:eastAsia="Times New Roman" w:hAnsi="Times New Roman" w:cs="Times New Roman"/>
          <w:b/>
          <w:bCs/>
          <w:sz w:val="22"/>
          <w:szCs w:val="22"/>
        </w:rPr>
      </w:pPr>
      <w:r w:rsidRPr="2030048C">
        <w:rPr>
          <w:rFonts w:ascii="Arial" w:eastAsia="Arial" w:hAnsi="Arial" w:cs="Arial"/>
          <w:b w:val="0"/>
          <w:bCs w:val="0"/>
          <w:sz w:val="22"/>
          <w:szCs w:val="22"/>
        </w:rPr>
        <w:t xml:space="preserve">Independent and guided learning from e-resources, texts and </w:t>
      </w:r>
      <w:r w:rsidRPr="2030048C">
        <w:rPr>
          <w:rFonts w:ascii="Arial" w:eastAsia="Arial" w:hAnsi="Arial" w:cs="Arial"/>
          <w:b w:val="0"/>
          <w:bCs w:val="0"/>
          <w:sz w:val="22"/>
          <w:szCs w:val="22"/>
        </w:rPr>
        <w:t>work books</w:t>
      </w:r>
    </w:p>
    <w:p w:rsidRPr="2030048C" w:rsidP="2030048C">
      <w:pPr>
        <w:pStyle w:val="cHons"/>
        <w:spacing w:before="0" w:after="0" w:line="276" w:lineRule="auto"/>
        <w:ind w:left="0" w:right="0"/>
        <w:jc w:val="both"/>
        <w:rPr>
          <w:rFonts w:ascii="Times New Roman" w:eastAsia="Times New Roman" w:hAnsi="Times New Roman" w:cs="Times New Roman"/>
          <w:b/>
          <w:bCs/>
          <w:sz w:val="22"/>
          <w:szCs w:val="22"/>
        </w:rPr>
      </w:pPr>
      <w:r w:rsidRPr="2030048C">
        <w:rPr>
          <w:rFonts w:ascii="Arial" w:eastAsia="Arial" w:hAnsi="Arial" w:cs="Arial"/>
          <w:b w:val="0"/>
          <w:bCs w:val="0"/>
          <w:sz w:val="22"/>
          <w:szCs w:val="22"/>
        </w:rPr>
        <w:t>Research projects</w:t>
      </w:r>
    </w:p>
    <w:p w:rsidRPr="2030048C" w:rsidP="2030048C">
      <w:pPr>
        <w:pStyle w:val="cHons"/>
        <w:spacing w:before="0" w:after="0" w:line="276" w:lineRule="auto"/>
        <w:ind w:left="0" w:right="0"/>
        <w:jc w:val="both"/>
        <w:rPr>
          <w:rFonts w:ascii="Times New Roman" w:eastAsia="Times New Roman" w:hAnsi="Times New Roman" w:cs="Times New Roman"/>
          <w:b/>
          <w:bCs/>
          <w:sz w:val="22"/>
          <w:szCs w:val="22"/>
        </w:rPr>
      </w:pPr>
      <w:r w:rsidRPr="2030048C">
        <w:rPr>
          <w:rFonts w:ascii="Arial" w:eastAsia="Arial" w:hAnsi="Arial" w:cs="Arial"/>
          <w:b w:val="0"/>
          <w:bCs w:val="0"/>
          <w:sz w:val="22"/>
          <w:szCs w:val="22"/>
        </w:rPr>
        <w:t xml:space="preserve">Simulations </w:t>
      </w:r>
    </w:p>
    <w:p w:rsidRPr="2030048C" w:rsidP="2030048C">
      <w:pPr>
        <w:pStyle w:val="cHons"/>
        <w:spacing w:before="0" w:after="0" w:line="276" w:lineRule="auto"/>
        <w:ind w:left="0" w:right="0"/>
        <w:jc w:val="both"/>
        <w:rPr>
          <w:rFonts w:ascii="Times New Roman" w:eastAsia="Times New Roman" w:hAnsi="Times New Roman" w:cs="Times New Roman"/>
          <w:b/>
          <w:bCs/>
          <w:sz w:val="22"/>
          <w:szCs w:val="22"/>
        </w:rPr>
      </w:pPr>
      <w:r w:rsidRPr="2030048C">
        <w:rPr>
          <w:rFonts w:ascii="Arial" w:eastAsia="Arial" w:hAnsi="Arial" w:cs="Arial"/>
          <w:b w:val="0"/>
          <w:bCs w:val="0"/>
          <w:sz w:val="22"/>
          <w:szCs w:val="22"/>
        </w:rPr>
        <w:t>Visits, from or to, outside organizations</w:t>
      </w: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Assessment</w:t>
      </w:r>
    </w:p>
    <w:p w:rsidRPr="2030048C" w:rsidP="2030048C">
      <w:pPr>
        <w:pStyle w:val="cHons"/>
        <w:spacing w:before="0" w:after="0" w:line="276" w:lineRule="auto"/>
        <w:ind w:left="0" w:right="0"/>
        <w:jc w:val="both"/>
        <w:rPr>
          <w:rFonts w:ascii="Times New Roman" w:eastAsia="Times New Roman" w:hAnsi="Times New Roman" w:cs="Times New Roman"/>
          <w:b/>
          <w:bCs/>
          <w:sz w:val="22"/>
          <w:szCs w:val="22"/>
        </w:rPr>
      </w:pPr>
      <w:r w:rsidRPr="2030048C">
        <w:rPr>
          <w:rFonts w:ascii="Arial" w:eastAsia="Arial" w:hAnsi="Arial" w:cs="Arial"/>
          <w:b w:val="0"/>
          <w:bCs w:val="0"/>
          <w:sz w:val="22"/>
          <w:szCs w:val="22"/>
        </w:rPr>
        <w:t>e-learning: Online forums; Twitter and other forms of social media; Blended learning; Video/Audio materials</w:t>
      </w:r>
    </w:p>
    <w:p w:rsidRPr="2030048C" w:rsidP="2030048C">
      <w:pPr>
        <w:pStyle w:val="p"/>
        <w:spacing w:before="0" w:after="0" w:line="276" w:lineRule="auto"/>
        <w:ind w:left="0" w:right="0"/>
        <w:jc w:val="both"/>
        <w:rPr>
          <w:rFonts w:ascii="Arial" w:eastAsia="Arial" w:hAnsi="Arial" w:cs="Arial"/>
          <w:b/>
          <w:bCs/>
          <w:sz w:val="22"/>
          <w:szCs w:val="22"/>
        </w:rPr>
      </w:pP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b/>
          <w:bCs/>
          <w:sz w:val="22"/>
          <w:szCs w:val="22"/>
        </w:rPr>
        <w:t>Canvas</w:t>
      </w:r>
    </w:p>
    <w:p w:rsidRPr="2030048C" w:rsidP="2030048C">
      <w:pPr>
        <w:pStyle w:val="p"/>
        <w:spacing w:before="0" w:after="12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Canvas, the university’s learning management system, is used extensively in all modules as a means of dissemination of lecture notes, worksheets, assignments, reference materials, links, </w:t>
      </w:r>
      <w:r w:rsidRPr="2030048C">
        <w:rPr>
          <w:rFonts w:ascii="Arial" w:eastAsia="Arial" w:hAnsi="Arial" w:cs="Arial"/>
          <w:sz w:val="22"/>
          <w:szCs w:val="22"/>
        </w:rPr>
        <w:t>videos</w:t>
      </w:r>
      <w:r w:rsidRPr="2030048C">
        <w:rPr>
          <w:rFonts w:ascii="Arial" w:eastAsia="Arial" w:hAnsi="Arial" w:cs="Arial"/>
          <w:sz w:val="22"/>
          <w:szCs w:val="22"/>
        </w:rPr>
        <w:t xml:space="preserve"> and lecturer annotated slides. In this way it acts as a repository for learning materials to be used by the students for independent study and in addition in some modules, for formative and summative tests and surveys.</w:t>
      </w:r>
    </w:p>
    <w:p w:rsidRPr="2030048C" w:rsidP="2030048C">
      <w:pPr>
        <w:pStyle w:val="BodyText20"/>
        <w:spacing w:before="0" w:after="120" w:line="276" w:lineRule="auto"/>
        <w:ind w:left="0" w:right="0"/>
        <w:jc w:val="both"/>
        <w:rPr>
          <w:rFonts w:ascii="Arial" w:eastAsia="Arial" w:hAnsi="Arial" w:cs="Arial"/>
          <w:sz w:val="22"/>
          <w:szCs w:val="22"/>
        </w:rPr>
      </w:pP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b/>
          <w:bCs/>
          <w:sz w:val="22"/>
          <w:szCs w:val="22"/>
        </w:rPr>
        <w:t xml:space="preserve">Assessment and Feedback </w:t>
      </w:r>
    </w:p>
    <w:p w:rsidRPr="2030048C" w:rsidP="2030048C">
      <w:pPr>
        <w:pStyle w:val="Pa3"/>
        <w:spacing w:before="0" w:after="120" w:line="276" w:lineRule="auto"/>
        <w:ind w:left="0" w:right="0"/>
        <w:jc w:val="both"/>
        <w:rPr>
          <w:rFonts w:ascii="StoneSans" w:eastAsia="StoneSans" w:hAnsi="StoneSans" w:cs="StoneSans"/>
          <w:sz w:val="22"/>
          <w:szCs w:val="22"/>
        </w:rPr>
      </w:pPr>
      <w:r w:rsidRPr="2030048C">
        <w:rPr>
          <w:rFonts w:ascii="Arial" w:eastAsia="Arial" w:hAnsi="Arial" w:cs="Arial"/>
          <w:sz w:val="22"/>
          <w:szCs w:val="22"/>
        </w:rPr>
        <w:t>There are ample opportunities given to students for formative assessment with rapid feedback that is an important aid to students’ learning and subsequent summative assessment.</w:t>
      </w:r>
      <w:r w:rsidRPr="2030048C">
        <w:rPr>
          <w:rFonts w:ascii="Arial" w:eastAsia="Arial" w:hAnsi="Arial" w:cs="Arial"/>
          <w:sz w:val="22"/>
          <w:szCs w:val="22"/>
        </w:rPr>
        <w:t xml:space="preserve">  </w:t>
      </w:r>
    </w:p>
    <w:p w:rsidRPr="2030048C" w:rsidP="2030048C">
      <w:pPr>
        <w:pStyle w:val="p"/>
        <w:spacing w:before="0" w:after="0"/>
        <w:ind w:left="0" w:right="0"/>
        <w:rPr>
          <w:rFonts w:ascii="Times New Roman" w:eastAsia="Times New Roman" w:hAnsi="Times New Roman" w:cs="Times New Roman"/>
          <w:sz w:val="24"/>
          <w:szCs w:val="24"/>
        </w:rPr>
      </w:pP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A wide range of other assessment mechanisms, outlined in section C above, are used to ensure that students with different backgrounds and different strengths are not disadvantaged and to ensure that our students </w:t>
      </w:r>
      <w:r w:rsidRPr="2030048C">
        <w:rPr>
          <w:rFonts w:ascii="Arial" w:eastAsia="Arial" w:hAnsi="Arial" w:cs="Arial"/>
          <w:sz w:val="22"/>
          <w:szCs w:val="22"/>
        </w:rPr>
        <w:t>are capable of tackling</w:t>
      </w:r>
      <w:r w:rsidRPr="2030048C">
        <w:rPr>
          <w:rFonts w:ascii="Arial" w:eastAsia="Arial" w:hAnsi="Arial" w:cs="Arial"/>
          <w:sz w:val="22"/>
          <w:szCs w:val="22"/>
        </w:rPr>
        <w:t xml:space="preserve"> many different types of problems. The methods of assessment have been selected </w:t>
      </w:r>
      <w:r w:rsidRPr="2030048C">
        <w:rPr>
          <w:rFonts w:ascii="Arial" w:eastAsia="Arial" w:hAnsi="Arial" w:cs="Arial"/>
          <w:sz w:val="22"/>
          <w:szCs w:val="22"/>
        </w:rPr>
        <w:t>so as to</w:t>
      </w:r>
      <w:r w:rsidRPr="2030048C">
        <w:rPr>
          <w:rFonts w:ascii="Arial" w:eastAsia="Arial" w:hAnsi="Arial" w:cs="Arial"/>
          <w:sz w:val="22"/>
          <w:szCs w:val="22"/>
        </w:rPr>
        <w:t xml:space="preserve"> be most appropriate for the nature of the subject material, teaching style and learning outcomes in each module and the balance between the various assessment methods for each module reflects the specified learning outcomes.</w:t>
      </w:r>
    </w:p>
    <w:p w:rsidRPr="2030048C" w:rsidP="2030048C">
      <w:pPr>
        <w:pStyle w:val="p"/>
        <w:spacing w:before="0" w:after="0" w:line="276" w:lineRule="auto"/>
        <w:ind w:left="0" w:right="0"/>
        <w:jc w:val="both"/>
        <w:rPr>
          <w:rFonts w:ascii="Arial" w:eastAsia="Arial" w:hAnsi="Arial" w:cs="Arial"/>
          <w:sz w:val="22"/>
          <w:szCs w:val="22"/>
        </w:rPr>
      </w:pP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At the end of the course every student undertakes a project dissertation which is a significant activity that draws on and enhances the skills and knowledge developed throughout the programme. As such the assessment places greater emphasis on ability to plan work, manage time effectively, and research background information, culminating in portfolio of written reports and an interview.</w:t>
      </w:r>
    </w:p>
    <w:p w:rsidRPr="2030048C" w:rsidP="2030048C">
      <w:pPr>
        <w:pStyle w:val="cHons"/>
        <w:spacing w:before="0" w:after="120" w:line="276" w:lineRule="auto"/>
        <w:ind w:left="0" w:right="0"/>
        <w:jc w:val="both"/>
        <w:rPr>
          <w:rFonts w:ascii="Times New Roman" w:eastAsia="Times New Roman" w:hAnsi="Times New Roman" w:cs="Times New Roman"/>
          <w:b/>
          <w:bCs/>
          <w:sz w:val="22"/>
          <w:szCs w:val="22"/>
        </w:rPr>
      </w:pPr>
      <w:r w:rsidRPr="2030048C">
        <w:rPr>
          <w:rFonts w:ascii="Arial" w:eastAsia="Arial" w:hAnsi="Arial" w:cs="Arial"/>
          <w:b w:val="0"/>
          <w:bCs w:val="0"/>
          <w:sz w:val="22"/>
          <w:szCs w:val="22"/>
        </w:rPr>
        <w:t xml:space="preserve">Formative assessment strategies and feedback opportunities include short or quick quizzes consisting of multiple choice or short answer questions and mock exams designed to reinforce concept learning and build subject confidence and may be delivered online as part of computer-aided assessment. </w:t>
      </w:r>
    </w:p>
    <w:p w:rsidRPr="2030048C" w:rsidP="2030048C">
      <w:pPr>
        <w:pStyle w:val="p"/>
        <w:spacing w:before="0" w:after="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Other feedback opportunities are afforded during preparation for summative assessment for example, reviewing draft assignments by peers and/or tutor.</w:t>
      </w:r>
    </w:p>
    <w:p w:rsidRPr="2030048C" w:rsidP="2030048C">
      <w:pPr>
        <w:pStyle w:val="ListContinue3"/>
        <w:spacing w:before="0" w:after="120" w:line="276" w:lineRule="auto"/>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In the </w:t>
      </w:r>
      <w:r w:rsidRPr="2030048C">
        <w:rPr>
          <w:rFonts w:ascii="Arial" w:eastAsia="Arial" w:hAnsi="Arial" w:cs="Arial"/>
          <w:sz w:val="22"/>
          <w:szCs w:val="22"/>
        </w:rPr>
        <w:t>programme as a whole, the</w:t>
      </w:r>
      <w:r w:rsidRPr="2030048C">
        <w:rPr>
          <w:rFonts w:ascii="Arial" w:eastAsia="Arial" w:hAnsi="Arial" w:cs="Arial"/>
          <w:sz w:val="22"/>
          <w:szCs w:val="22"/>
        </w:rPr>
        <w:t xml:space="preserve"> following components are used in the assessment of the various modules:</w:t>
      </w:r>
    </w:p>
    <w:p w:rsidRPr="2030048C" w:rsidP="2030048C">
      <w:pPr>
        <w:pStyle w:val="p"/>
        <w:spacing w:before="0" w:after="0" w:line="276" w:lineRule="auto"/>
        <w:ind w:left="578" w:right="0" w:hanging="578"/>
        <w:jc w:val="both"/>
        <w:rPr>
          <w:rFonts w:ascii="Times New Roman" w:eastAsia="Times New Roman" w:hAnsi="Times New Roman" w:cs="Times New Roman"/>
          <w:sz w:val="22"/>
          <w:szCs w:val="22"/>
        </w:rPr>
      </w:pPr>
      <w:r w:rsidRPr="2030048C">
        <w:rPr>
          <w:rFonts w:ascii="Arial" w:eastAsia="Arial" w:hAnsi="Arial" w:cs="Arial"/>
          <w:sz w:val="22"/>
          <w:szCs w:val="22"/>
        </w:rPr>
        <w:t>-</w:t>
      </w:r>
      <w:r w:rsidRPr="2030048C">
        <w:rPr>
          <w:rFonts w:ascii="Times New Roman" w:eastAsia="Times New Roman" w:hAnsi="Times New Roman" w:cs="Times New Roman"/>
          <w:sz w:val="22"/>
          <w:szCs w:val="22"/>
        </w:rPr>
        <w:tab/>
      </w:r>
      <w:r w:rsidRPr="2030048C">
        <w:rPr>
          <w:rFonts w:ascii="Arial" w:eastAsia="Arial" w:hAnsi="Arial" w:cs="Arial"/>
          <w:b/>
          <w:bCs/>
          <w:sz w:val="22"/>
          <w:szCs w:val="22"/>
        </w:rPr>
        <w:t>Multiple choice or short answer questions</w:t>
      </w:r>
      <w:r w:rsidRPr="2030048C">
        <w:rPr>
          <w:rFonts w:ascii="Arial" w:eastAsia="Arial" w:hAnsi="Arial" w:cs="Arial"/>
          <w:sz w:val="22"/>
          <w:szCs w:val="22"/>
        </w:rPr>
        <w:t>: to assess competence in basic techniques and understanding of concepts</w:t>
      </w:r>
    </w:p>
    <w:p w:rsidRPr="2030048C" w:rsidP="2030048C">
      <w:pPr>
        <w:pStyle w:val="p"/>
        <w:spacing w:before="0" w:after="0" w:line="276" w:lineRule="auto"/>
        <w:ind w:left="578" w:right="0" w:hanging="578"/>
        <w:jc w:val="both"/>
        <w:rPr>
          <w:rFonts w:ascii="Times New Roman" w:eastAsia="Times New Roman" w:hAnsi="Times New Roman" w:cs="Times New Roman"/>
          <w:sz w:val="22"/>
          <w:szCs w:val="22"/>
        </w:rPr>
      </w:pPr>
      <w:r w:rsidRPr="2030048C">
        <w:rPr>
          <w:rFonts w:ascii="Arial" w:eastAsia="Arial" w:hAnsi="Arial" w:cs="Arial"/>
          <w:sz w:val="22"/>
          <w:szCs w:val="22"/>
        </w:rPr>
        <w:t>-</w:t>
      </w:r>
      <w:r w:rsidRPr="2030048C">
        <w:rPr>
          <w:rFonts w:ascii="Times New Roman" w:eastAsia="Times New Roman" w:hAnsi="Times New Roman" w:cs="Times New Roman"/>
          <w:sz w:val="22"/>
          <w:szCs w:val="22"/>
        </w:rPr>
        <w:tab/>
      </w:r>
      <w:r w:rsidRPr="2030048C">
        <w:rPr>
          <w:rFonts w:ascii="Arial" w:eastAsia="Arial" w:hAnsi="Arial" w:cs="Arial"/>
          <w:b/>
          <w:bCs/>
          <w:sz w:val="22"/>
          <w:szCs w:val="22"/>
        </w:rPr>
        <w:t>Long answered structured questions</w:t>
      </w:r>
      <w:r w:rsidRPr="2030048C">
        <w:rPr>
          <w:rFonts w:ascii="Arial" w:eastAsia="Arial" w:hAnsi="Arial" w:cs="Arial"/>
          <w:sz w:val="22"/>
          <w:szCs w:val="22"/>
        </w:rPr>
        <w:t xml:space="preserve"> in coursework assignments: to assess ability to apply learned techniques to solve simple to medium problems and which may include a limited investigative component</w:t>
      </w:r>
    </w:p>
    <w:p w:rsidRPr="2030048C" w:rsidP="2030048C">
      <w:pPr>
        <w:pStyle w:val="p"/>
        <w:spacing w:before="0" w:after="0" w:line="276" w:lineRule="auto"/>
        <w:ind w:left="578" w:right="0" w:hanging="578"/>
        <w:jc w:val="both"/>
        <w:rPr>
          <w:rFonts w:ascii="Times New Roman" w:eastAsia="Times New Roman" w:hAnsi="Times New Roman" w:cs="Times New Roman"/>
          <w:sz w:val="22"/>
          <w:szCs w:val="22"/>
        </w:rPr>
      </w:pPr>
      <w:r w:rsidRPr="2030048C">
        <w:rPr>
          <w:rFonts w:ascii="Arial" w:eastAsia="Arial" w:hAnsi="Arial" w:cs="Arial"/>
          <w:sz w:val="22"/>
          <w:szCs w:val="22"/>
        </w:rPr>
        <w:t>-</w:t>
      </w:r>
      <w:r w:rsidRPr="2030048C">
        <w:rPr>
          <w:rFonts w:ascii="Times New Roman" w:eastAsia="Times New Roman" w:hAnsi="Times New Roman" w:cs="Times New Roman"/>
          <w:sz w:val="22"/>
          <w:szCs w:val="22"/>
        </w:rPr>
        <w:tab/>
      </w:r>
      <w:r w:rsidRPr="2030048C">
        <w:rPr>
          <w:rFonts w:ascii="Arial" w:eastAsia="Arial" w:hAnsi="Arial" w:cs="Arial"/>
          <w:b/>
          <w:bCs/>
          <w:sz w:val="22"/>
          <w:szCs w:val="22"/>
        </w:rPr>
        <w:t>Long answer structured questions</w:t>
      </w:r>
      <w:r w:rsidRPr="2030048C">
        <w:rPr>
          <w:rFonts w:ascii="Arial" w:eastAsia="Arial" w:hAnsi="Arial" w:cs="Arial"/>
          <w:sz w:val="22"/>
          <w:szCs w:val="22"/>
        </w:rPr>
        <w:t xml:space="preserve"> in end-of-module examinations: to assess overall breadth of knowledge and technical competence to provide concise and accurate solutions within restricted time</w:t>
      </w:r>
    </w:p>
    <w:p w:rsidRPr="2030048C" w:rsidP="2030048C">
      <w:pPr>
        <w:pStyle w:val="p"/>
        <w:spacing w:before="0" w:after="0" w:line="276" w:lineRule="auto"/>
        <w:ind w:left="578" w:right="0" w:hanging="578"/>
        <w:jc w:val="both"/>
        <w:rPr>
          <w:rFonts w:ascii="Times New Roman" w:eastAsia="Times New Roman" w:hAnsi="Times New Roman" w:cs="Times New Roman"/>
          <w:sz w:val="22"/>
          <w:szCs w:val="22"/>
        </w:rPr>
      </w:pPr>
      <w:r w:rsidRPr="2030048C">
        <w:rPr>
          <w:rFonts w:ascii="Arial" w:eastAsia="Arial" w:hAnsi="Arial" w:cs="Arial"/>
          <w:sz w:val="22"/>
          <w:szCs w:val="22"/>
        </w:rPr>
        <w:t>-</w:t>
      </w:r>
      <w:r w:rsidRPr="2030048C">
        <w:rPr>
          <w:rFonts w:ascii="Times New Roman" w:eastAsia="Times New Roman" w:hAnsi="Times New Roman" w:cs="Times New Roman"/>
          <w:sz w:val="22"/>
          <w:szCs w:val="22"/>
        </w:rPr>
        <w:tab/>
      </w:r>
      <w:r w:rsidRPr="2030048C">
        <w:rPr>
          <w:rFonts w:ascii="Arial" w:eastAsia="Arial" w:hAnsi="Arial" w:cs="Arial"/>
          <w:b/>
          <w:bCs/>
          <w:sz w:val="22"/>
          <w:szCs w:val="22"/>
        </w:rPr>
        <w:t>Practical exercises</w:t>
      </w:r>
      <w:r w:rsidRPr="2030048C">
        <w:rPr>
          <w:rFonts w:ascii="Arial" w:eastAsia="Arial" w:hAnsi="Arial" w:cs="Arial"/>
          <w:sz w:val="22"/>
          <w:szCs w:val="22"/>
        </w:rPr>
        <w:t>: to assess students’ understanding and technical competence</w:t>
      </w:r>
    </w:p>
    <w:p w:rsidRPr="2030048C" w:rsidP="2030048C">
      <w:pPr>
        <w:pStyle w:val="p"/>
        <w:spacing w:before="0" w:after="0" w:line="276" w:lineRule="auto"/>
        <w:ind w:left="578" w:right="0" w:hanging="578"/>
        <w:jc w:val="both"/>
        <w:rPr>
          <w:rFonts w:ascii="Times New Roman" w:eastAsia="Times New Roman" w:hAnsi="Times New Roman" w:cs="Times New Roman"/>
          <w:sz w:val="22"/>
          <w:szCs w:val="22"/>
        </w:rPr>
      </w:pPr>
      <w:r w:rsidRPr="2030048C">
        <w:rPr>
          <w:rFonts w:ascii="Arial" w:eastAsia="Arial" w:hAnsi="Arial" w:cs="Arial"/>
          <w:sz w:val="22"/>
          <w:szCs w:val="22"/>
        </w:rPr>
        <w:t>-</w:t>
      </w:r>
      <w:r w:rsidRPr="2030048C">
        <w:rPr>
          <w:rFonts w:ascii="Times New Roman" w:eastAsia="Times New Roman" w:hAnsi="Times New Roman" w:cs="Times New Roman"/>
          <w:sz w:val="22"/>
          <w:szCs w:val="22"/>
        </w:rPr>
        <w:tab/>
      </w:r>
      <w:r w:rsidRPr="2030048C">
        <w:rPr>
          <w:rFonts w:ascii="Arial" w:eastAsia="Arial" w:hAnsi="Arial" w:cs="Arial"/>
          <w:b/>
          <w:bCs/>
          <w:sz w:val="22"/>
          <w:szCs w:val="22"/>
        </w:rPr>
        <w:t>Group-based case studies</w:t>
      </w:r>
      <w:r w:rsidRPr="2030048C">
        <w:rPr>
          <w:rFonts w:ascii="Arial" w:eastAsia="Arial" w:hAnsi="Arial" w:cs="Arial"/>
          <w:sz w:val="22"/>
          <w:szCs w:val="22"/>
        </w:rPr>
        <w:t>: to assess ability to understand requirements, to provide solutions to realistic problems and to interact and work effectively with others as a contributing member of a team. The outcomes can be:</w:t>
      </w:r>
    </w:p>
    <w:p w:rsidRPr="2030048C" w:rsidP="2030048C">
      <w:pPr>
        <w:pStyle w:val="p"/>
        <w:spacing w:before="0" w:after="0" w:line="276" w:lineRule="auto"/>
        <w:ind w:left="1134" w:right="0" w:hanging="436"/>
        <w:jc w:val="both"/>
        <w:rPr>
          <w:rFonts w:ascii="Times New Roman" w:eastAsia="Times New Roman" w:hAnsi="Times New Roman" w:cs="Times New Roman"/>
          <w:sz w:val="22"/>
          <w:szCs w:val="22"/>
        </w:rPr>
      </w:pPr>
      <w:r w:rsidRPr="2030048C">
        <w:rPr>
          <w:rFonts w:ascii="Arial" w:eastAsia="Arial" w:hAnsi="Arial" w:cs="Arial"/>
          <w:sz w:val="22"/>
          <w:szCs w:val="22"/>
        </w:rPr>
        <w:t>-</w:t>
      </w:r>
      <w:r w:rsidRPr="2030048C">
        <w:rPr>
          <w:rFonts w:ascii="Times New Roman" w:eastAsia="Times New Roman" w:hAnsi="Times New Roman" w:cs="Times New Roman"/>
          <w:sz w:val="22"/>
          <w:szCs w:val="22"/>
        </w:rPr>
        <w:tab/>
      </w:r>
      <w:r w:rsidRPr="2030048C">
        <w:rPr>
          <w:rFonts w:ascii="Arial" w:eastAsia="Arial" w:hAnsi="Arial" w:cs="Arial"/>
          <w:b/>
          <w:bCs/>
          <w:sz w:val="22"/>
          <w:szCs w:val="22"/>
        </w:rPr>
        <w:t>Written report</w:t>
      </w:r>
      <w:r w:rsidRPr="2030048C">
        <w:rPr>
          <w:rFonts w:ascii="Arial" w:eastAsia="Arial" w:hAnsi="Arial" w:cs="Arial"/>
          <w:sz w:val="22"/>
          <w:szCs w:val="22"/>
        </w:rPr>
        <w:t xml:space="preserve">, where the ability to communicate the relevant concepts, methods, </w:t>
      </w:r>
      <w:r w:rsidRPr="2030048C">
        <w:rPr>
          <w:rFonts w:ascii="Arial" w:eastAsia="Arial" w:hAnsi="Arial" w:cs="Arial"/>
          <w:sz w:val="22"/>
          <w:szCs w:val="22"/>
        </w:rPr>
        <w:t>results</w:t>
      </w:r>
      <w:r w:rsidRPr="2030048C">
        <w:rPr>
          <w:rFonts w:ascii="Arial" w:eastAsia="Arial" w:hAnsi="Arial" w:cs="Arial"/>
          <w:sz w:val="22"/>
          <w:szCs w:val="22"/>
        </w:rPr>
        <w:t xml:space="preserve"> and conclusions effectively will be assessed.</w:t>
      </w:r>
    </w:p>
    <w:p w:rsidRPr="2030048C" w:rsidP="2030048C">
      <w:pPr>
        <w:pStyle w:val="p"/>
        <w:spacing w:before="0" w:after="0" w:line="276" w:lineRule="auto"/>
        <w:ind w:left="1134" w:right="0" w:hanging="436"/>
        <w:jc w:val="both"/>
        <w:rPr>
          <w:rFonts w:ascii="Times New Roman" w:eastAsia="Times New Roman" w:hAnsi="Times New Roman" w:cs="Times New Roman"/>
          <w:sz w:val="22"/>
          <w:szCs w:val="22"/>
        </w:rPr>
      </w:pPr>
      <w:r w:rsidRPr="2030048C">
        <w:rPr>
          <w:rFonts w:ascii="Arial" w:eastAsia="Arial" w:hAnsi="Arial" w:cs="Arial"/>
          <w:sz w:val="22"/>
          <w:szCs w:val="22"/>
        </w:rPr>
        <w:t>-</w:t>
      </w:r>
      <w:r w:rsidRPr="2030048C">
        <w:rPr>
          <w:rFonts w:ascii="Times New Roman" w:eastAsia="Times New Roman" w:hAnsi="Times New Roman" w:cs="Times New Roman"/>
          <w:sz w:val="22"/>
          <w:szCs w:val="22"/>
        </w:rPr>
        <w:tab/>
      </w:r>
      <w:r w:rsidRPr="2030048C">
        <w:rPr>
          <w:rFonts w:ascii="Arial" w:eastAsia="Arial" w:hAnsi="Arial" w:cs="Arial"/>
          <w:b/>
          <w:bCs/>
          <w:sz w:val="22"/>
          <w:szCs w:val="22"/>
        </w:rPr>
        <w:t>Oral presentation</w:t>
      </w:r>
      <w:r w:rsidRPr="2030048C">
        <w:rPr>
          <w:rFonts w:ascii="Arial" w:eastAsia="Arial" w:hAnsi="Arial" w:cs="Arial"/>
          <w:sz w:val="22"/>
          <w:szCs w:val="22"/>
        </w:rPr>
        <w:t xml:space="preserve">, where the ability to summarise accurately and </w:t>
      </w:r>
      <w:r w:rsidRPr="2030048C">
        <w:rPr>
          <w:rFonts w:ascii="Arial" w:eastAsia="Arial" w:hAnsi="Arial" w:cs="Arial"/>
          <w:sz w:val="22"/>
          <w:szCs w:val="22"/>
        </w:rPr>
        <w:t>communicate clearly</w:t>
      </w:r>
      <w:r w:rsidRPr="2030048C">
        <w:rPr>
          <w:rFonts w:ascii="Arial" w:eastAsia="Arial" w:hAnsi="Arial" w:cs="Arial"/>
          <w:sz w:val="22"/>
          <w:szCs w:val="22"/>
        </w:rPr>
        <w:t xml:space="preserve"> the key points from the work in a brief presentation will be assessed.</w:t>
      </w:r>
    </w:p>
    <w:p w:rsidRPr="2030048C" w:rsidP="2030048C">
      <w:pPr>
        <w:pStyle w:val="p"/>
        <w:spacing w:before="0" w:after="0" w:line="276" w:lineRule="auto"/>
        <w:ind w:left="1134" w:right="0" w:hanging="436"/>
        <w:jc w:val="both"/>
        <w:rPr>
          <w:rFonts w:ascii="Times New Roman" w:eastAsia="Times New Roman" w:hAnsi="Times New Roman" w:cs="Times New Roman"/>
          <w:sz w:val="22"/>
          <w:szCs w:val="22"/>
        </w:rPr>
      </w:pPr>
      <w:r w:rsidRPr="2030048C">
        <w:rPr>
          <w:rFonts w:ascii="Arial" w:eastAsia="Arial" w:hAnsi="Arial" w:cs="Arial"/>
          <w:sz w:val="22"/>
          <w:szCs w:val="22"/>
        </w:rPr>
        <w:t>-</w:t>
      </w:r>
      <w:r w:rsidRPr="2030048C">
        <w:rPr>
          <w:rFonts w:ascii="Times New Roman" w:eastAsia="Times New Roman" w:hAnsi="Times New Roman" w:cs="Times New Roman"/>
          <w:sz w:val="22"/>
          <w:szCs w:val="22"/>
        </w:rPr>
        <w:tab/>
      </w:r>
      <w:r w:rsidRPr="2030048C">
        <w:rPr>
          <w:rFonts w:ascii="Arial" w:eastAsia="Arial" w:hAnsi="Arial" w:cs="Arial"/>
          <w:b/>
          <w:bCs/>
          <w:sz w:val="22"/>
          <w:szCs w:val="22"/>
        </w:rPr>
        <w:t>Poster presentation</w:t>
      </w:r>
      <w:r w:rsidRPr="2030048C">
        <w:rPr>
          <w:rFonts w:ascii="Arial" w:eastAsia="Arial" w:hAnsi="Arial" w:cs="Arial"/>
          <w:sz w:val="22"/>
          <w:szCs w:val="22"/>
        </w:rPr>
        <w:t xml:space="preserve"> where information and results must be succinct and eye-catching.</w:t>
      </w:r>
    </w:p>
    <w:p w:rsidRPr="2030048C" w:rsidP="2030048C">
      <w:pPr>
        <w:pStyle w:val="cHons"/>
        <w:spacing w:before="0" w:after="0" w:line="276" w:lineRule="auto"/>
        <w:ind w:left="0" w:right="0"/>
        <w:jc w:val="both"/>
        <w:rPr>
          <w:rFonts w:ascii="Times New Roman" w:eastAsia="Times New Roman" w:hAnsi="Times New Roman" w:cs="Times New Roman"/>
          <w:b/>
          <w:bCs/>
          <w:sz w:val="22"/>
          <w:szCs w:val="22"/>
        </w:rPr>
      </w:pPr>
      <w:r w:rsidRPr="2030048C">
        <w:rPr>
          <w:rFonts w:ascii="Arial" w:eastAsia="Arial" w:hAnsi="Arial" w:cs="Arial"/>
          <w:b w:val="0"/>
          <w:bCs w:val="0"/>
          <w:sz w:val="22"/>
          <w:szCs w:val="22"/>
        </w:rPr>
        <w:t xml:space="preserve">Key skills developed throughout the course form an integral part of an assessment. </w:t>
      </w:r>
    </w:p>
    <w:p w:rsidRPr="2030048C" w:rsidP="2030048C">
      <w:pPr>
        <w:pStyle w:val="cHons"/>
        <w:spacing w:before="0" w:after="0" w:line="276" w:lineRule="auto"/>
        <w:ind w:left="0" w:right="0"/>
        <w:jc w:val="both"/>
        <w:rPr>
          <w:rFonts w:ascii="Arial" w:eastAsia="Arial" w:hAnsi="Arial" w:cs="Arial"/>
          <w:b w:val="0"/>
          <w:bCs w:val="0"/>
          <w:sz w:val="22"/>
          <w:szCs w:val="22"/>
        </w:rPr>
      </w:pPr>
    </w:p>
    <w:p w:rsidRPr="2030048C" w:rsidP="2030048C">
      <w:pPr>
        <w:pStyle w:val="cHons"/>
        <w:spacing w:before="0" w:after="0" w:line="276" w:lineRule="auto"/>
        <w:ind w:left="0" w:right="0"/>
        <w:jc w:val="both"/>
        <w:rPr>
          <w:rFonts w:ascii="Times New Roman" w:eastAsia="Times New Roman" w:hAnsi="Times New Roman" w:cs="Times New Roman"/>
          <w:b/>
          <w:bCs/>
          <w:sz w:val="22"/>
          <w:szCs w:val="22"/>
        </w:rPr>
      </w:pPr>
      <w:r w:rsidRPr="2030048C">
        <w:rPr>
          <w:rFonts w:ascii="Arial" w:eastAsia="Arial" w:hAnsi="Arial" w:cs="Arial"/>
          <w:b w:val="0"/>
          <w:bCs w:val="0"/>
          <w:sz w:val="22"/>
          <w:szCs w:val="22"/>
        </w:rPr>
        <w:t xml:space="preserve">Students are supported in this by their module leaders as well as their course leader and personal tutor, who will help them to draw together the themes of the curriculum and ensure participation in formative feedback and that feed-forward opportunities are realised. The project dissertation provides an obvious opportunity for students to integrate all the knowledge and skills acquired throughout the course. </w:t>
      </w:r>
    </w:p>
    <w:p w:rsidRPr="2030048C" w:rsidP="2030048C">
      <w:pPr>
        <w:pStyle w:val="cHons"/>
        <w:spacing w:before="0" w:after="0" w:line="276" w:lineRule="auto"/>
        <w:ind w:left="0" w:right="0"/>
        <w:jc w:val="both"/>
        <w:rPr>
          <w:rFonts w:ascii="Arial" w:eastAsia="Arial" w:hAnsi="Arial" w:cs="Arial"/>
          <w:b w:val="0"/>
          <w:bCs w:val="0"/>
          <w:sz w:val="22"/>
          <w:szCs w:val="22"/>
        </w:rPr>
      </w:pPr>
    </w:p>
    <w:p w:rsidRPr="2030048C" w:rsidP="2030048C">
      <w:pPr>
        <w:pStyle w:val="p"/>
        <w:spacing w:before="0" w:after="120" w:line="276" w:lineRule="auto"/>
        <w:ind w:left="0" w:right="0"/>
        <w:rPr>
          <w:rFonts w:ascii="Times New Roman" w:eastAsia="Times New Roman" w:hAnsi="Times New Roman" w:cs="Times New Roman"/>
          <w:sz w:val="22"/>
          <w:szCs w:val="22"/>
        </w:rPr>
      </w:pPr>
      <w:r w:rsidRPr="2030048C">
        <w:rPr>
          <w:rFonts w:ascii="Arial" w:eastAsia="Arial" w:hAnsi="Arial" w:cs="Arial"/>
          <w:b/>
          <w:bCs/>
          <w:sz w:val="22"/>
          <w:szCs w:val="22"/>
        </w:rPr>
        <w:t>Research Informed Teaching</w:t>
      </w:r>
    </w:p>
    <w:p w:rsidRPr="2030048C" w:rsidP="2030048C">
      <w:pPr>
        <w:pStyle w:val="PlainText"/>
        <w:spacing w:before="0" w:after="120" w:line="276" w:lineRule="auto"/>
        <w:ind w:left="0" w:right="0"/>
        <w:rPr>
          <w:rFonts w:ascii="Courier New" w:eastAsia="Courier New" w:hAnsi="Courier New" w:cs="Courier New"/>
          <w:sz w:val="22"/>
          <w:szCs w:val="22"/>
        </w:rPr>
      </w:pPr>
      <w:r w:rsidRPr="2030048C">
        <w:rPr>
          <w:rFonts w:ascii="Arial" w:eastAsia="Arial" w:hAnsi="Arial" w:cs="Arial"/>
          <w:sz w:val="22"/>
          <w:szCs w:val="22"/>
        </w:rPr>
        <w:t xml:space="preserve">The course team is research active within the Digital Information Research Centre (DIRC), which is dedicated to the advancement of the theory and applicability of computer science to enable </w:t>
      </w:r>
      <w:r w:rsidRPr="2030048C">
        <w:rPr>
          <w:rFonts w:ascii="Arial" w:eastAsia="Arial" w:hAnsi="Arial" w:cs="Arial"/>
          <w:sz w:val="22"/>
          <w:szCs w:val="22"/>
        </w:rPr>
        <w:t>internationally-leading</w:t>
      </w:r>
      <w:r w:rsidRPr="2030048C">
        <w:rPr>
          <w:rFonts w:ascii="Arial" w:eastAsia="Arial" w:hAnsi="Arial" w:cs="Arial"/>
          <w:sz w:val="22"/>
          <w:szCs w:val="22"/>
        </w:rPr>
        <w:t xml:space="preserve"> work in the field of informatics, addressing the needs of society in the thematic areas of health, communications, security and data. The centre provides an inclusive and outward looking environment for research development, fostering </w:t>
      </w:r>
      <w:r w:rsidRPr="2030048C">
        <w:rPr>
          <w:rFonts w:ascii="Arial" w:eastAsia="Arial" w:hAnsi="Arial" w:cs="Arial"/>
          <w:sz w:val="22"/>
          <w:szCs w:val="22"/>
        </w:rPr>
        <w:t>interdisciplinary and multidisciplinary research to achieve maximum impact in real-world applications.</w:t>
      </w:r>
    </w:p>
    <w:p w:rsidRPr="2030048C" w:rsidP="2030048C">
      <w:pPr>
        <w:pStyle w:val="PlainText"/>
        <w:spacing w:before="0" w:after="120" w:line="276" w:lineRule="auto"/>
        <w:ind w:left="0" w:right="0"/>
        <w:rPr>
          <w:rFonts w:ascii="Courier New" w:eastAsia="Courier New" w:hAnsi="Courier New" w:cs="Courier New"/>
          <w:sz w:val="22"/>
          <w:szCs w:val="22"/>
        </w:rPr>
      </w:pPr>
      <w:r w:rsidRPr="2030048C">
        <w:rPr>
          <w:rFonts w:ascii="Arial" w:eastAsia="Arial" w:hAnsi="Arial" w:cs="Arial"/>
          <w:sz w:val="22"/>
          <w:szCs w:val="22"/>
        </w:rPr>
        <w:t>The following areas are examples of research informed teaching in our courses:</w:t>
      </w:r>
    </w:p>
    <w:p w:rsidRPr="2030048C" w:rsidP="2030048C">
      <w:pPr>
        <w:pStyle w:val="ListParagraph00"/>
        <w:numPr>
          <w:ilvl w:val="0"/>
          <w:numId w:val="27"/>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NoobLab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w:t>
      </w:r>
      <w:r w:rsidRPr="2030048C">
        <w:rPr>
          <w:rFonts w:ascii="Arial" w:eastAsia="Arial" w:hAnsi="Arial" w:cs="Arial"/>
          <w:sz w:val="22"/>
          <w:szCs w:val="22"/>
        </w:rPr>
        <w:t>School</w:t>
      </w:r>
      <w:r w:rsidRPr="2030048C">
        <w:rPr>
          <w:rFonts w:ascii="Arial" w:eastAsia="Arial" w:hAnsi="Arial" w:cs="Arial"/>
          <w:sz w:val="22"/>
          <w:szCs w:val="22"/>
        </w:rPr>
        <w:t xml:space="preserve"> has internationally recognised research groups that feed into and support student learning through its teaching programme.</w:t>
      </w:r>
    </w:p>
    <w:p w:rsidRPr="2030048C" w:rsidP="2030048C">
      <w:pPr>
        <w:pStyle w:val="ListParagraph00"/>
        <w:spacing w:before="0" w:after="0" w:line="276" w:lineRule="auto"/>
        <w:ind w:left="720" w:right="0"/>
        <w:rPr>
          <w:rFonts w:ascii="Arial" w:eastAsia="Arial" w:hAnsi="Arial" w:cs="Arial"/>
          <w:sz w:val="22"/>
          <w:szCs w:val="22"/>
        </w:rPr>
      </w:pPr>
    </w:p>
    <w:p w:rsidRPr="2030048C" w:rsidP="2030048C">
      <w:pPr>
        <w:pStyle w:val="li0"/>
        <w:numPr>
          <w:ilvl w:val="0"/>
          <w:numId w:val="28"/>
        </w:numPr>
        <w:pBdr>
          <w:left w:val="none" w:sz="0" w:space="7" w:color="auto"/>
        </w:pBdr>
        <w:spacing w:before="0" w:after="12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The computer vision activity within the centre has internationally recognised expertise in visual surveillance, medical </w:t>
      </w:r>
      <w:r w:rsidRPr="2030048C">
        <w:rPr>
          <w:rFonts w:ascii="Arial" w:eastAsia="Arial" w:hAnsi="Arial" w:cs="Arial"/>
          <w:sz w:val="22"/>
          <w:szCs w:val="22"/>
        </w:rPr>
        <w:t>imaging</w:t>
      </w:r>
      <w:r w:rsidRPr="2030048C">
        <w:rPr>
          <w:rFonts w:ascii="Arial" w:eastAsia="Arial" w:hAnsi="Arial" w:cs="Arial"/>
          <w:sz w:val="22"/>
          <w:szCs w:val="22"/>
        </w:rPr>
        <w:t xml:space="preserve"> and intelligent environments.</w:t>
      </w:r>
      <w:r w:rsidRPr="2030048C">
        <w:rPr>
          <w:rFonts w:ascii="Arial" w:eastAsia="Arial" w:hAnsi="Arial" w:cs="Arial"/>
          <w:sz w:val="22"/>
          <w:szCs w:val="22"/>
        </w:rPr>
        <w:t xml:space="preserve">  </w:t>
      </w:r>
      <w:r w:rsidRPr="2030048C">
        <w:rPr>
          <w:rFonts w:ascii="Arial" w:eastAsia="Arial" w:hAnsi="Arial" w:cs="Arial"/>
          <w:sz w:val="22"/>
          <w:szCs w:val="22"/>
        </w:rPr>
        <w:t xml:space="preserve">Recently, the centre coordinated a special session of the Computer Vision and Pattern Recognition conference on “Computer Vision for Computer Games”. The Human Body Motion Group within DIRC works on the extraction, analysis and synthesis of human motion using video footage and motion capture data for graphics and games applications. </w:t>
      </w:r>
      <w:r w:rsidRPr="2030048C">
        <w:rPr>
          <w:rFonts w:ascii="Arial" w:eastAsia="Arial" w:hAnsi="Arial" w:cs="Arial"/>
          <w:sz w:val="22"/>
          <w:szCs w:val="22"/>
        </w:rPr>
        <w:t>Thus</w:t>
      </w:r>
      <w:r w:rsidRPr="2030048C">
        <w:rPr>
          <w:rFonts w:ascii="Arial" w:eastAsia="Arial" w:hAnsi="Arial" w:cs="Arial"/>
          <w:sz w:val="22"/>
          <w:szCs w:val="22"/>
        </w:rPr>
        <w:t xml:space="preserve"> there is good linkage between research and teaching and the teaching team for computer science draws from DIRC members.</w:t>
      </w:r>
    </w:p>
    <w:p w:rsidRPr="2030048C" w:rsidP="2030048C">
      <w:pPr>
        <w:pStyle w:val="li0"/>
        <w:numPr>
          <w:ilvl w:val="0"/>
          <w:numId w:val="29"/>
        </w:numPr>
        <w:pBdr>
          <w:left w:val="none" w:sz="0" w:space="7" w:color="auto"/>
        </w:pBdr>
        <w:spacing w:before="0" w:after="120" w:line="276" w:lineRule="auto"/>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w:t>
      </w:r>
      <w:r w:rsidRPr="2030048C">
        <w:rPr>
          <w:rFonts w:ascii="Arial" w:eastAsia="Arial" w:hAnsi="Arial" w:cs="Arial"/>
          <w:sz w:val="22"/>
          <w:szCs w:val="22"/>
        </w:rPr>
        <w:t>networking</w:t>
      </w:r>
      <w:r w:rsidRPr="2030048C">
        <w:rPr>
          <w:rFonts w:ascii="Arial" w:eastAsia="Arial" w:hAnsi="Arial" w:cs="Arial"/>
          <w:sz w:val="22"/>
          <w:szCs w:val="22"/>
        </w:rPr>
        <w:t xml:space="preserve"> and security. </w:t>
      </w:r>
    </w:p>
    <w:p w:rsidRPr="2030048C" w:rsidP="2030048C">
      <w:pPr>
        <w:pStyle w:val="p"/>
        <w:spacing w:before="0" w:after="0" w:line="276" w:lineRule="auto"/>
        <w:ind w:left="0" w:right="0"/>
        <w:rPr>
          <w:rFonts w:ascii="Times New Roman" w:eastAsia="Times New Roman" w:hAnsi="Times New Roman" w:cs="Times New Roman"/>
          <w:sz w:val="22"/>
          <w:szCs w:val="22"/>
        </w:rPr>
      </w:pPr>
      <w:r w:rsidRPr="2030048C">
        <w:rPr>
          <w:rFonts w:ascii="Arial" w:eastAsia="Arial" w:hAnsi="Arial" w:cs="Arial"/>
          <w:sz w:val="22"/>
          <w:szCs w:val="22"/>
        </w:rPr>
        <w:t xml:space="preserve">Students are also able to develop their research skills which form a fundamental part of the curriculum. These skills enable students to distinguish and present appropriate evidentiary information in an argument. These skills are greatly valued by employers. </w:t>
      </w:r>
    </w:p>
    <w:p w:rsidRPr="2030048C" w:rsidP="2030048C">
      <w:pPr>
        <w:pStyle w:val="p"/>
        <w:spacing w:before="0" w:after="0" w:line="276" w:lineRule="auto"/>
        <w:ind w:left="0" w:right="0"/>
        <w:rPr>
          <w:rFonts w:ascii="Times New Roman" w:eastAsia="Times New Roman" w:hAnsi="Times New Roman" w:cs="Times New Roman"/>
          <w:sz w:val="22"/>
          <w:szCs w:val="22"/>
        </w:rPr>
      </w:pPr>
      <w:r w:rsidRPr="2030048C">
        <w:rPr>
          <w:rFonts w:ascii="Arial" w:eastAsia="Arial" w:hAnsi="Arial" w:cs="Arial"/>
          <w:sz w:val="22"/>
          <w:szCs w:val="22"/>
        </w:rPr>
        <w:t xml:space="preserve">Staff also engage with research into teaching and learning in Higher Education which feeds through to support learning in lectures and other forms of student engagement during contact time. </w:t>
      </w:r>
    </w:p>
    <w:p w:rsidRPr="2030048C" w:rsidP="2030048C">
      <w:pPr>
        <w:pStyle w:val="p"/>
        <w:spacing w:before="0" w:after="0" w:line="276" w:lineRule="auto"/>
        <w:ind w:left="0" w:right="0"/>
        <w:rPr>
          <w:rFonts w:ascii="Arial" w:eastAsia="Arial" w:hAnsi="Arial" w:cs="Arial"/>
          <w:sz w:val="22"/>
          <w:szCs w:val="22"/>
        </w:rPr>
      </w:pPr>
    </w:p>
    <w:p w:rsidRPr="2030048C" w:rsidP="2030048C">
      <w:pPr>
        <w:pStyle w:val="cHons"/>
        <w:spacing w:before="0" w:after="0" w:line="276" w:lineRule="auto"/>
        <w:ind w:left="0" w:right="0"/>
        <w:jc w:val="both"/>
        <w:rPr>
          <w:rFonts w:ascii="Times New Roman" w:eastAsia="Times New Roman" w:hAnsi="Times New Roman" w:cs="Times New Roman"/>
          <w:b/>
          <w:bCs/>
          <w:sz w:val="22"/>
          <w:szCs w:val="22"/>
        </w:rPr>
      </w:pPr>
      <w:r w:rsidRPr="2030048C">
        <w:rPr>
          <w:rFonts w:ascii="Arial" w:eastAsia="Arial" w:hAnsi="Arial" w:cs="Arial"/>
          <w:b w:val="0"/>
          <w:bCs w:val="0"/>
          <w:sz w:val="22"/>
          <w:szCs w:val="22"/>
        </w:rPr>
        <w:t>The assessment during the Professional Placement year will include a reflective practice piece of work, a professional development portfolio (PDP) and the employer’s appraisal. The performance and attendance will be regularly monitored through the placement year. The marking of the placement is “pass” or “fail”.</w:t>
      </w:r>
    </w:p>
    <w:p w:rsidRPr="2030048C" w:rsidP="2030048C">
      <w:pPr>
        <w:pStyle w:val="cHons"/>
        <w:spacing w:before="0" w:after="0" w:line="276" w:lineRule="auto"/>
        <w:ind w:left="720" w:right="0" w:hanging="283"/>
        <w:jc w:val="both"/>
        <w:rPr>
          <w:rFonts w:ascii="Arial" w:eastAsia="Arial" w:hAnsi="Arial" w:cs="Arial"/>
          <w:b w:val="0"/>
          <w:bCs w:val="0"/>
          <w:sz w:val="22"/>
          <w:szCs w:val="22"/>
        </w:rPr>
      </w:pP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Personal Tutor System</w:t>
      </w:r>
      <w:r w:rsidRPr="2030048C">
        <w:rPr>
          <w:rFonts w:ascii="Arial" w:eastAsia="Arial" w:hAnsi="Arial" w:cs="Arial"/>
          <w:sz w:val="24"/>
          <w:szCs w:val="24"/>
        </w:rPr>
        <w:br/>
      </w:r>
      <w:r w:rsidRPr="2030048C">
        <w:rPr>
          <w:rFonts w:ascii="Arial" w:eastAsia="Arial" w:hAnsi="Arial" w:cs="Arial"/>
          <w:b/>
          <w:bCs/>
          <w:sz w:val="24"/>
          <w:szCs w:val="24"/>
        </w:rPr>
        <w:t xml:space="preserve">A Personal Tutoring Scheme is established across the </w:t>
      </w:r>
      <w:r w:rsidRPr="2030048C">
        <w:rPr>
          <w:rFonts w:ascii="Arial" w:eastAsia="Arial" w:hAnsi="Arial" w:cs="Arial"/>
          <w:b/>
          <w:bCs/>
          <w:sz w:val="24"/>
          <w:szCs w:val="24"/>
        </w:rPr>
        <w:t>Faculty</w:t>
      </w:r>
      <w:r w:rsidRPr="2030048C">
        <w:rPr>
          <w:rFonts w:ascii="Arial" w:eastAsia="Arial" w:hAnsi="Arial" w:cs="Arial"/>
          <w:b/>
          <w:bCs/>
          <w:sz w:val="24"/>
          <w:szCs w:val="24"/>
        </w:rPr>
        <w:t xml:space="preserve"> to help </w:t>
      </w:r>
      <w:r w:rsidRPr="2030048C">
        <w:rPr>
          <w:rFonts w:ascii="Arial" w:eastAsia="Arial" w:hAnsi="Arial" w:cs="Arial"/>
          <w:sz w:val="22"/>
          <w:szCs w:val="22"/>
        </w:rPr>
        <w:t xml:space="preserve">Master’s students realise their potential and to advise on the matters such as career development and employability. A personal tutor is assigned to each </w:t>
      </w:r>
      <w:r w:rsidRPr="2030048C">
        <w:rPr>
          <w:rFonts w:ascii="Arial" w:eastAsia="Arial" w:hAnsi="Arial" w:cs="Arial"/>
          <w:sz w:val="22"/>
          <w:szCs w:val="22"/>
        </w:rPr>
        <w:t>Master’s</w:t>
      </w:r>
      <w:r w:rsidRPr="2030048C">
        <w:rPr>
          <w:rFonts w:ascii="Arial" w:eastAsia="Arial" w:hAnsi="Arial" w:cs="Arial"/>
          <w:sz w:val="22"/>
          <w:szCs w:val="22"/>
        </w:rPr>
        <w:t xml:space="preserve"> student and is a member of the teaching team on their course. The first contact between student and the Personal Tutor is </w:t>
      </w:r>
      <w:r w:rsidRPr="2030048C">
        <w:rPr>
          <w:rFonts w:ascii="Arial" w:eastAsia="Arial" w:hAnsi="Arial" w:cs="Arial"/>
          <w:sz w:val="22"/>
          <w:szCs w:val="22"/>
        </w:rPr>
        <w:t>during Induction Week for an introductory meeting and thereafter a scheduled set of meetings is set up to ensure the continuity of the student progress and the appropriate personal development throughout the course. The minimum of three meetings per academic year is a norm.</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b/>
          <w:bCs/>
          <w:sz w:val="24"/>
          <w:szCs w:val="24"/>
        </w:rPr>
        <w:t xml:space="preserve">Level </w:t>
      </w:r>
      <w:r w:rsidRPr="2030048C">
        <w:rPr>
          <w:rFonts w:ascii="Arial" w:eastAsia="Arial" w:hAnsi="Arial" w:cs="Arial"/>
          <w:b/>
          <w:bCs/>
          <w:sz w:val="24"/>
          <w:szCs w:val="24"/>
        </w:rPr>
        <w:t>7 :</w:t>
      </w:r>
      <w:r w:rsidRPr="2030048C">
        <w:rPr>
          <w:rFonts w:ascii="Arial" w:eastAsia="Arial" w:hAnsi="Arial" w:cs="Arial"/>
          <w:b/>
          <w:bCs/>
          <w:sz w:val="24"/>
          <w:szCs w:val="24"/>
        </w:rPr>
        <w:t xml:space="preserve"> Getting the most out of the Masters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3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To help students to make the transition to </w:t>
      </w:r>
      <w:r w:rsidRPr="2030048C">
        <w:rPr>
          <w:rFonts w:ascii="Arial" w:eastAsia="Arial" w:hAnsi="Arial" w:cs="Arial"/>
          <w:sz w:val="24"/>
          <w:szCs w:val="24"/>
        </w:rPr>
        <w:t>Master’s</w:t>
      </w:r>
      <w:r w:rsidRPr="2030048C">
        <w:rPr>
          <w:rFonts w:ascii="Arial" w:eastAsia="Arial" w:hAnsi="Arial" w:cs="Arial"/>
          <w:sz w:val="24"/>
          <w:szCs w:val="24"/>
        </w:rPr>
        <w:t xml:space="preserve"> level study and understand how to</w:t>
      </w:r>
      <w:r w:rsidRPr="2030048C">
        <w:rPr>
          <w:rFonts w:ascii="Arial" w:eastAsia="Arial" w:hAnsi="Arial" w:cs="Arial"/>
          <w:sz w:val="24"/>
          <w:szCs w:val="24"/>
        </w:rPr>
        <w:br/>
      </w:r>
      <w:r w:rsidRPr="2030048C">
        <w:rPr>
          <w:rFonts w:ascii="Arial" w:eastAsia="Arial" w:hAnsi="Arial" w:cs="Arial"/>
          <w:sz w:val="24"/>
          <w:szCs w:val="24"/>
        </w:rPr>
        <w:t>use feedback on the postgraduate course</w:t>
      </w:r>
    </w:p>
    <w:p w:rsidRPr="2030048C" w:rsidP="2030048C">
      <w:pPr>
        <w:numPr>
          <w:ilvl w:val="0"/>
          <w:numId w:val="30"/>
        </w:numPr>
        <w:ind w:left="720" w:right="0" w:hanging="360"/>
        <w:jc w:val="left"/>
        <w:rPr>
          <w:rFonts w:ascii="Arial" w:eastAsia="Arial" w:hAnsi="Arial" w:cs="Arial"/>
          <w:sz w:val="24"/>
          <w:szCs w:val="24"/>
        </w:rPr>
      </w:pPr>
      <w:r w:rsidRPr="2030048C">
        <w:rPr>
          <w:rFonts w:ascii="Arial" w:eastAsia="Arial" w:hAnsi="Arial" w:cs="Arial"/>
          <w:sz w:val="24"/>
          <w:szCs w:val="24"/>
        </w:rPr>
        <w:t>To encourage students to be proactive in making links between their course and their</w:t>
      </w:r>
      <w:r w:rsidRPr="2030048C">
        <w:rPr>
          <w:rFonts w:ascii="Arial" w:eastAsia="Arial" w:hAnsi="Arial" w:cs="Arial"/>
          <w:sz w:val="24"/>
          <w:szCs w:val="24"/>
        </w:rPr>
        <w:br/>
      </w:r>
      <w:r w:rsidRPr="2030048C">
        <w:rPr>
          <w:rFonts w:ascii="Arial" w:eastAsia="Arial" w:hAnsi="Arial" w:cs="Arial"/>
          <w:sz w:val="24"/>
          <w:szCs w:val="24"/>
        </w:rPr>
        <w:t>professional and/or academic aspirations</w:t>
      </w:r>
    </w:p>
    <w:p w:rsidRPr="2030048C" w:rsidP="2030048C">
      <w:pPr>
        <w:numPr>
          <w:ilvl w:val="0"/>
          <w:numId w:val="30"/>
        </w:numPr>
        <w:ind w:left="720" w:right="0" w:hanging="360"/>
        <w:jc w:val="left"/>
        <w:rPr>
          <w:rFonts w:ascii="Arial" w:eastAsia="Arial" w:hAnsi="Arial" w:cs="Arial"/>
          <w:sz w:val="24"/>
          <w:szCs w:val="24"/>
        </w:rPr>
      </w:pPr>
      <w:r w:rsidRPr="2030048C">
        <w:rPr>
          <w:rFonts w:ascii="Arial" w:eastAsia="Arial" w:hAnsi="Arial" w:cs="Arial"/>
          <w:sz w:val="24"/>
          <w:szCs w:val="24"/>
        </w:rPr>
        <w:t>To explore students’ research aspirations</w:t>
      </w:r>
    </w:p>
    <w:p w:rsidRPr="2030048C" w:rsidP="2030048C">
      <w:pPr>
        <w:numPr>
          <w:ilvl w:val="0"/>
          <w:numId w:val="30"/>
        </w:numPr>
        <w:ind w:left="720" w:right="0" w:hanging="360"/>
        <w:jc w:val="left"/>
        <w:rPr>
          <w:rFonts w:ascii="Arial" w:eastAsia="Arial" w:hAnsi="Arial" w:cs="Arial"/>
          <w:sz w:val="24"/>
          <w:szCs w:val="24"/>
        </w:rPr>
      </w:pPr>
      <w:r w:rsidRPr="2030048C">
        <w:rPr>
          <w:rFonts w:ascii="Arial" w:eastAsia="Arial" w:hAnsi="Arial" w:cs="Arial"/>
          <w:sz w:val="24"/>
          <w:szCs w:val="24"/>
        </w:rPr>
        <w:t>To help students gain confidence in contributing to, and learning from, constructive</w:t>
      </w:r>
      <w:r w:rsidRPr="2030048C">
        <w:rPr>
          <w:rFonts w:ascii="Arial" w:eastAsia="Arial" w:hAnsi="Arial" w:cs="Arial"/>
          <w:sz w:val="24"/>
          <w:szCs w:val="24"/>
        </w:rPr>
        <w:br/>
      </w:r>
      <w:r w:rsidRPr="2030048C">
        <w:rPr>
          <w:rFonts w:ascii="Arial" w:eastAsia="Arial" w:hAnsi="Arial" w:cs="Arial"/>
          <w:sz w:val="24"/>
          <w:szCs w:val="24"/>
        </w:rPr>
        <w:t>peer review</w:t>
      </w:r>
    </w:p>
    <w:p w:rsidRPr="2030048C" w:rsidP="2030048C">
      <w:pPr>
        <w:numPr>
          <w:ilvl w:val="0"/>
          <w:numId w:val="30"/>
        </w:numPr>
        <w:ind w:left="720" w:right="0" w:hanging="360"/>
        <w:jc w:val="left"/>
        <w:rPr>
          <w:rFonts w:ascii="Arial" w:eastAsia="Arial" w:hAnsi="Arial" w:cs="Arial"/>
          <w:sz w:val="24"/>
          <w:szCs w:val="24"/>
        </w:rPr>
      </w:pPr>
      <w:r w:rsidRPr="2030048C">
        <w:rPr>
          <w:rFonts w:ascii="Arial" w:eastAsia="Arial" w:hAnsi="Arial" w:cs="Arial"/>
          <w:sz w:val="24"/>
          <w:szCs w:val="24"/>
        </w:rPr>
        <w:t>To encourage students to become part of a wider disciplinary and/or professional</w:t>
      </w:r>
      <w:r w:rsidRPr="2030048C">
        <w:rPr>
          <w:rFonts w:ascii="Arial" w:eastAsia="Arial" w:hAnsi="Arial" w:cs="Arial"/>
          <w:sz w:val="24"/>
          <w:szCs w:val="24"/>
        </w:rPr>
        <w:br/>
      </w:r>
      <w:r w:rsidRPr="2030048C">
        <w:rPr>
          <w:rFonts w:ascii="Arial" w:eastAsia="Arial" w:hAnsi="Arial" w:cs="Arial"/>
          <w:sz w:val="24"/>
          <w:szCs w:val="24"/>
        </w:rPr>
        <w:t>community</w:t>
      </w:r>
    </w:p>
    <w:p w:rsidRPr="2030048C" w:rsidP="2030048C">
      <w:pPr>
        <w:numPr>
          <w:ilvl w:val="0"/>
          <w:numId w:val="30"/>
        </w:numPr>
        <w:ind w:left="720" w:right="0" w:hanging="360"/>
        <w:jc w:val="left"/>
        <w:rPr>
          <w:rFonts w:ascii="Arial" w:eastAsia="Arial" w:hAnsi="Arial" w:cs="Arial"/>
          <w:sz w:val="24"/>
          <w:szCs w:val="24"/>
        </w:rPr>
      </w:pPr>
      <w:r w:rsidRPr="2030048C">
        <w:rPr>
          <w:rFonts w:ascii="Arial" w:eastAsia="Arial" w:hAnsi="Arial" w:cs="Arial"/>
          <w:sz w:val="24"/>
          <w:szCs w:val="24"/>
        </w:rPr>
        <w:t>To help students to prepare for the dynamics of supervision</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Throughout the Faculty of SEC there is a system of ‘Office Hours’ for general student enquiries to academic staff. Office hours are times at which academic staff will normally be available to speak to students in their office and are usually advertised on staff office doors. In the event of a member of staff being unavailable to deal with an urgent matter, an appointment can be made by sending an e-mail to the staff member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The University has several methods for evaluating and improving the quality and standards of its provision.  </w:t>
      </w:r>
      <w:r w:rsidRPr="2030048C">
        <w:rPr>
          <w:rFonts w:ascii="Arial" w:eastAsia="Arial" w:hAnsi="Arial" w:cs="Arial"/>
          <w:sz w:val="24"/>
          <w:szCs w:val="24"/>
        </w:rPr>
        <w:t>These include:</w:t>
      </w:r>
    </w:p>
    <w:p w:rsidR="3D0EBCB8" w:rsidRPr="2030048C" w:rsidP="2030048C">
      <w:pPr>
        <w:numPr>
          <w:ilvl w:val="0"/>
          <w:numId w:val="31"/>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31"/>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31"/>
        </w:numPr>
        <w:ind w:left="720" w:right="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31"/>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31"/>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 (MEQs), level surveys and the National Student Survey (NSS)</w:t>
      </w:r>
    </w:p>
    <w:p w:rsidR="3D0EBCB8" w:rsidRPr="2030048C" w:rsidP="2030048C">
      <w:pPr>
        <w:numPr>
          <w:ilvl w:val="0"/>
          <w:numId w:val="31"/>
        </w:numPr>
        <w:ind w:left="720" w:right="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31"/>
        </w:numPr>
        <w:ind w:left="720" w:right="0" w:hanging="360"/>
        <w:jc w:val="left"/>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835"/>
        <w:gridCol w:w="835"/>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CI7801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CI7810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CI7821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CI7831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CI7701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multilevel"/>
    <w:tmpl w:val="74989B1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74989B12"/>
    <w:multiLevelType w:val="hybridMultilevel"/>
    <w:tmpl w:val="74989B12"/>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o"/>
      <w:lvlJc w:val="left"/>
      <w:pPr>
        <w:ind w:left="720" w:hanging="360"/>
      </w:pPr>
      <w:rPr>
        <w:rFonts w:ascii="Courier New" w:hAnsi="Courier New"/>
        <w:b/>
        <w:bC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cell">
    <w:name w:val="cell"/>
    <w:basedOn w:val="ListParagraph"/>
    <w:rPr>
      <w:sz w:val="24"/>
      <w:szCs w:val="24"/>
    </w:rPr>
  </w:style>
  <w:style w:type="paragraph" w:customStyle="1" w:styleId="p0">
    <w:name w:val="p_0"/>
    <w:basedOn w:val="ListParagraph"/>
  </w:style>
  <w:style w:type="paragraph" w:customStyle="1" w:styleId="li">
    <w:name w:val="li"/>
    <w:basedOn w:val="ListParagraph"/>
  </w:style>
  <w:style w:type="paragraph" w:customStyle="1" w:styleId="BodyText2">
    <w:name w:val="BodyText2"/>
    <w:basedOn w:val="ListParagraph"/>
    <w:pPr>
      <w:spacing w:line="480" w:lineRule="auto"/>
    </w:pPr>
    <w:rPr>
      <w:rFonts w:ascii="Calibri" w:eastAsia="Calibri" w:hAnsi="Calibri" w:cs="Calibri"/>
      <w:sz w:val="24"/>
      <w:szCs w:val="24"/>
    </w:rPr>
  </w:style>
  <w:style w:type="paragraph" w:customStyle="1" w:styleId="ListParagraph0">
    <w:name w:val="ListParagraph"/>
    <w:basedOn w:val="ListParagraph"/>
    <w:rPr>
      <w:rFonts w:ascii="Calibri" w:eastAsia="Calibri" w:hAnsi="Calibri" w:cs="Calibri"/>
      <w:sz w:val="22"/>
      <w:szCs w:val="22"/>
    </w:rPr>
  </w:style>
  <w:style w:type="paragraph" w:customStyle="1" w:styleId="Body">
    <w:name w:val="Body"/>
    <w:basedOn w:val="Normal"/>
    <w:rPr>
      <w:sz w:val="24"/>
      <w:szCs w:val="24"/>
    </w:rPr>
  </w:style>
  <w:style w:type="paragraph" w:customStyle="1" w:styleId="li0">
    <w:name w:val="li_0"/>
    <w:basedOn w:val="Normal"/>
  </w:style>
  <w:style w:type="paragraph" w:customStyle="1" w:styleId="cHons">
    <w:name w:val="cHons"/>
    <w:basedOn w:val="Normal"/>
    <w:rPr>
      <w:b/>
      <w:bCs/>
      <w:sz w:val="24"/>
      <w:szCs w:val="24"/>
    </w:rPr>
  </w:style>
  <w:style w:type="paragraph" w:customStyle="1" w:styleId="BodyText20">
    <w:name w:val="BodyText2_0"/>
    <w:basedOn w:val="Normal"/>
    <w:pPr>
      <w:spacing w:line="480" w:lineRule="auto"/>
    </w:pPr>
    <w:rPr>
      <w:rFonts w:ascii="Calibri" w:eastAsia="Calibri" w:hAnsi="Calibri" w:cs="Calibri"/>
      <w:sz w:val="24"/>
      <w:szCs w:val="24"/>
    </w:rPr>
  </w:style>
  <w:style w:type="paragraph" w:customStyle="1" w:styleId="Pa3">
    <w:name w:val="Pa3"/>
    <w:basedOn w:val="Normal"/>
    <w:pPr>
      <w:spacing w:line="221" w:lineRule="atLeast"/>
    </w:pPr>
    <w:rPr>
      <w:rFonts w:ascii="StoneSans" w:eastAsia="StoneSans" w:hAnsi="StoneSans" w:cs="StoneSans"/>
      <w:sz w:val="24"/>
      <w:szCs w:val="24"/>
    </w:rPr>
  </w:style>
  <w:style w:type="paragraph" w:customStyle="1" w:styleId="ListContinue3">
    <w:name w:val="ListContinue3"/>
    <w:basedOn w:val="Normal"/>
    <w:pPr>
      <w:spacing w:line="220" w:lineRule="atLeast"/>
    </w:pPr>
    <w:rPr>
      <w:sz w:val="20"/>
      <w:szCs w:val="20"/>
    </w:rPr>
  </w:style>
  <w:style w:type="paragraph" w:customStyle="1" w:styleId="PlainText">
    <w:name w:val="PlainText"/>
    <w:basedOn w:val="Normal"/>
    <w:rPr>
      <w:rFonts w:ascii="Courier New" w:eastAsia="Courier New" w:hAnsi="Courier New" w:cs="Courier New"/>
      <w:sz w:val="20"/>
      <w:szCs w:val="20"/>
    </w:rPr>
  </w:style>
  <w:style w:type="paragraph" w:customStyle="1" w:styleId="ListParagraph00">
    <w:name w:val="ListParagraph_0"/>
    <w:basedOn w:val="Normal"/>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7273682-CCF7-42D7-BEF6-5463FFF3679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