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User Experience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User Experience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User Experience Design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User Experience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BCS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No compensation permitted.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Kingston University’s User Experience Design MSc course has been developed with industry needs and expectations as its ethos and preparing students for the challenges they will face in a highly competitive sector. Modules and assessments are designed to recreate the professional environment and client brief. We continuously update our module content and themes to reflect the latest advances in the industry, and we are always adding to our internal catalogue of video tutorials and workshops.</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This is a course from our expanding portfolio of digital media courses which includes Game Development (Programming) MSc, Game Development (Design) MA, User Experience Design MSc, as well as </w:t>
      </w:r>
      <w:r w:rsidRPr="2030048C">
        <w:rPr>
          <w:rStyle w:val="normaltextrun"/>
          <w:rFonts w:ascii="Arial" w:eastAsia="Arial" w:hAnsi="Arial" w:cs="Arial"/>
          <w:color w:val="000000" w:themeColor="text1"/>
          <w:sz w:val="22"/>
          <w:szCs w:val="22"/>
          <w:shd w:val="clear" w:color="auto" w:fill="FFFFFF"/>
        </w:rPr>
        <w:t>a number of</w:t>
      </w:r>
      <w:r w:rsidRPr="2030048C">
        <w:rPr>
          <w:rStyle w:val="normaltextrun"/>
          <w:rFonts w:ascii="Arial" w:eastAsia="Arial" w:hAnsi="Arial" w:cs="Arial"/>
          <w:color w:val="000000" w:themeColor="text1"/>
          <w:sz w:val="22"/>
          <w:szCs w:val="22"/>
          <w:shd w:val="clear" w:color="auto" w:fill="FFFFFF"/>
        </w:rPr>
        <w:t xml:space="preserve"> undergraduate courses including Games Technology BSc, Computer Graphics Technology BSc and Digital Media Technology BSc.</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 unique aspect of study on this course is its articulation with other taught Masters courses as part of Digital Media Kingston (DMK) that offers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User Experience Design MSc, alongside Game Development and Computer </w:t>
      </w:r>
      <w:r w:rsidRPr="2030048C">
        <w:rPr>
          <w:rStyle w:val="normaltextrun"/>
          <w:rFonts w:ascii="Arial" w:eastAsia="Arial" w:hAnsi="Arial" w:cs="Arial"/>
          <w:color w:val="000000" w:themeColor="text1"/>
          <w:sz w:val="22"/>
          <w:szCs w:val="22"/>
          <w:shd w:val="clear" w:color="auto" w:fill="FFFFFF"/>
        </w:rPr>
        <w:t>Animation .</w:t>
      </w:r>
      <w:r w:rsidRPr="2030048C">
        <w:rPr>
          <w:rStyle w:val="normaltextrun"/>
          <w:rFonts w:ascii="Arial" w:eastAsia="Arial" w:hAnsi="Arial" w:cs="Arial"/>
          <w:color w:val="000000" w:themeColor="text1"/>
          <w:sz w:val="22"/>
          <w:szCs w:val="22"/>
          <w:shd w:val="clear" w:color="auto" w:fill="FFFFFF"/>
        </w:rPr>
        <w:t xml:space="preserve"> This provides an integrated learning environment where students can develop their media specialist practice as part of a community engaged in interdisciplinary collaborative innovation. The Master’s in User Experience Design encourages students to devise and participate in projects where they can develop in their field whilst emphasising research-informed, industry-focused practice standards. Each subject pathway provides an intensive period of study that is made</w:t>
      </w:r>
      <w:r w:rsidRPr="2030048C">
        <w:rPr>
          <w:rStyle w:val="normaltextrun"/>
          <w:rFonts w:ascii="Times New Roman" w:eastAsia="Times New Roman" w:hAnsi="Times New Roman" w:cs="Times New Roman"/>
          <w:color w:val="000000" w:themeColor="text1"/>
          <w:sz w:val="24"/>
          <w:szCs w:val="24"/>
          <w:shd w:val="clear" w:color="auto" w:fill="FFFFFF"/>
        </w:rPr>
        <w:br/>
      </w:r>
      <w:r w:rsidRPr="2030048C">
        <w:rPr>
          <w:rStyle w:val="normaltextrun"/>
          <w:rFonts w:ascii="Arial" w:eastAsia="Arial" w:hAnsi="Arial" w:cs="Arial"/>
          <w:color w:val="000000" w:themeColor="text1"/>
          <w:sz w:val="22"/>
          <w:szCs w:val="22"/>
          <w:shd w:val="clear" w:color="auto" w:fill="FFFFFF"/>
        </w:rPr>
        <w:t>up of both course-specific modules and shared core modules within DMK’s Postgraduate Framework. Our goal is to help students develop the critical thinking and the understanding of interdisciplinarity that will underpin their practice in the future.</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induction week programme includes an introduction to the faculty computer network system, our media studio, and much more. It contains useful information about </w:t>
      </w:r>
      <w:r w:rsidRPr="2030048C">
        <w:rPr>
          <w:rStyle w:val="normaltextrun"/>
          <w:rFonts w:ascii="Arial" w:eastAsia="Arial" w:hAnsi="Arial" w:cs="Arial"/>
          <w:color w:val="000000" w:themeColor="text1"/>
          <w:sz w:val="22"/>
          <w:szCs w:val="22"/>
          <w:shd w:val="clear" w:color="auto" w:fill="FFFFFF"/>
        </w:rPr>
        <w:t xml:space="preserve">the </w:t>
      </w:r>
      <w:r w:rsidRPr="2030048C">
        <w:rPr>
          <w:rStyle w:val="normaltextrun"/>
          <w:rFonts w:ascii="Arial" w:eastAsia="Arial" w:hAnsi="Arial" w:cs="Arial"/>
          <w:color w:val="000000" w:themeColor="text1"/>
          <w:sz w:val="22"/>
          <w:szCs w:val="22"/>
          <w:shd w:val="clear" w:color="auto" w:fill="FFFFFF"/>
        </w:rPr>
        <w:t>course, faculties, and broader community around Kingston University.</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programme also helps develop employment-ready students through an integrated industrial experience in the form of a work placement on the two-year version of the programme. 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r w:rsidRPr="2030048C">
        <w:rPr>
          <w:rStyle w:val="normaltextrun"/>
          <w:rFonts w:ascii="Times New Roman" w:eastAsia="Times New Roman" w:hAnsi="Times New Roman" w:cs="Times New Roman"/>
          <w:color w:val="000000" w:themeColor="text1"/>
          <w:sz w:val="24"/>
          <w:szCs w:val="24"/>
          <w:shd w:val="clear" w:color="auto" w:fill="FFFFFF"/>
        </w:rPr>
        <w:br/>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This guide is one of many and contains important and useful information. It contains details information specific to your course, contact names, telephone numbers, and e-mail addresses. We hope this information is useful to you over the whole of the course.</w:t>
      </w: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cell"/>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i/>
          <w:iCs/>
          <w:color w:val="000000" w:themeColor="text1"/>
          <w:sz w:val="22"/>
          <w:szCs w:val="22"/>
          <w:shd w:val="clear" w:color="auto" w:fill="FFFFFF"/>
        </w:rPr>
        <w:t>The Aims of the Course are to:</w:t>
      </w:r>
    </w:p>
    <w:p w:rsidRPr="2030048C" w:rsidP="2030048C">
      <w:pPr>
        <w:pStyle w:val="cell"/>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li"/>
        <w:numPr>
          <w:ilvl w:val="0"/>
          <w:numId w:val="12"/>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Equip students with the capability to exploit user experience design methods, tools and skills which will enable them to create digital media user interfaces for organisations in the 21st century.</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3"/>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Enhance a student’s job performance and enable him/her to contribute effectively to the knowledge base of the employer.</w:t>
      </w:r>
    </w:p>
    <w:p w:rsidRPr="2030048C" w:rsidP="2030048C">
      <w:pPr>
        <w:pStyle w:val="BodyText2"/>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14"/>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Give students the means to explore in detail the technical theory, </w:t>
      </w:r>
      <w:r w:rsidRPr="2030048C">
        <w:rPr>
          <w:rStyle w:val="normaltextrun"/>
          <w:rFonts w:ascii="Arial" w:eastAsia="Arial" w:hAnsi="Arial" w:cs="Arial"/>
          <w:color w:val="000000" w:themeColor="text1"/>
          <w:sz w:val="22"/>
          <w:szCs w:val="22"/>
          <w:shd w:val="clear" w:color="auto" w:fill="FFFFFF"/>
        </w:rPr>
        <w:t>methods</w:t>
      </w:r>
      <w:r w:rsidRPr="2030048C">
        <w:rPr>
          <w:rStyle w:val="normaltextrun"/>
          <w:rFonts w:ascii="Arial" w:eastAsia="Arial" w:hAnsi="Arial" w:cs="Arial"/>
          <w:color w:val="000000" w:themeColor="text1"/>
          <w:sz w:val="22"/>
          <w:szCs w:val="22"/>
          <w:shd w:val="clear" w:color="auto" w:fill="FFFFFF"/>
        </w:rPr>
        <w:t xml:space="preserve"> and reflective practice of user experience design.</w:t>
      </w:r>
    </w:p>
    <w:p w:rsidRPr="2030048C" w:rsidP="2030048C">
      <w:pPr>
        <w:pStyle w:val="BodyText2"/>
        <w:spacing w:before="0" w:after="0"/>
        <w:ind w:left="1418" w:right="0"/>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5"/>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Maintain productive links with industry which provide sufficient background for an industrial/commercial dimension to the course.</w:t>
      </w:r>
    </w:p>
    <w:p w:rsidRPr="2030048C" w:rsidP="2030048C">
      <w:pPr>
        <w:pStyle w:val="p0"/>
        <w:spacing w:before="0" w:after="0"/>
        <w:ind w:left="1418"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6"/>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Undertake continuing professional development and updating for established IT professionals.</w:t>
      </w:r>
    </w:p>
    <w:p w:rsidRPr="2030048C" w:rsidP="2030048C">
      <w:pPr>
        <w:pStyle w:val="p0"/>
        <w:spacing w:before="0" w:after="0"/>
        <w:ind w:left="1418"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17"/>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Implant an enquiring, analytical and creative approach to both personal and professional activities that leads to the critical and responsible use of informed and independent judgement. </w:t>
      </w:r>
    </w:p>
    <w:p w:rsidRPr="2030048C" w:rsidP="2030048C">
      <w:pPr>
        <w:pStyle w:val="BodyText2"/>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8"/>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Undertake a more effective role in design and development digital media user interfaces.</w:t>
      </w:r>
    </w:p>
    <w:p w:rsidRPr="2030048C" w:rsidP="2030048C">
      <w:pPr>
        <w:pStyle w:val="p0"/>
        <w:spacing w:before="0" w:after="0"/>
        <w:ind w:left="1418"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9"/>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Gain a solid foundation in this specialist area, building on knowledge and skills gained from </w:t>
      </w:r>
      <w:r w:rsidRPr="2030048C">
        <w:rPr>
          <w:rStyle w:val="normaltextrun"/>
          <w:rFonts w:ascii="Arial" w:eastAsia="Arial" w:hAnsi="Arial" w:cs="Arial"/>
          <w:color w:val="000000" w:themeColor="text1"/>
          <w:sz w:val="22"/>
          <w:szCs w:val="22"/>
          <w:shd w:val="clear" w:color="auto" w:fill="FFFFFF"/>
        </w:rPr>
        <w:t>students</w:t>
      </w:r>
      <w:r w:rsidRPr="2030048C">
        <w:rPr>
          <w:rStyle w:val="normaltextrun"/>
          <w:rFonts w:ascii="Arial" w:eastAsia="Arial" w:hAnsi="Arial" w:cs="Arial"/>
          <w:color w:val="000000" w:themeColor="text1"/>
          <w:sz w:val="22"/>
          <w:szCs w:val="22"/>
          <w:shd w:val="clear" w:color="auto" w:fill="FFFFFF"/>
        </w:rPr>
        <w:t xml:space="preserve"> individual backgrounds. </w:t>
      </w:r>
    </w:p>
    <w:p w:rsidRPr="2030048C" w:rsidP="2030048C">
      <w:pPr>
        <w:pStyle w:val="p0"/>
        <w:spacing w:before="0" w:after="0"/>
        <w:ind w:left="709"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20"/>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Have an in-depth understanding of the new user interface modalities, </w:t>
      </w:r>
      <w:r w:rsidRPr="2030048C">
        <w:rPr>
          <w:rStyle w:val="normaltextrun"/>
          <w:rFonts w:ascii="Arial" w:eastAsia="Arial" w:hAnsi="Arial" w:cs="Arial"/>
          <w:color w:val="000000" w:themeColor="text1"/>
          <w:sz w:val="22"/>
          <w:szCs w:val="22"/>
          <w:shd w:val="clear" w:color="auto" w:fill="FFFFFF"/>
        </w:rPr>
        <w:t>media</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z w:val="22"/>
          <w:szCs w:val="22"/>
          <w:shd w:val="clear" w:color="auto" w:fill="FFFFFF"/>
        </w:rPr>
        <w:t xml:space="preserve"> architectures appropriate to the design of great user experiences across multi-channels and touchpoints throughout the user journey.</w:t>
      </w:r>
    </w:p>
    <w:p w:rsidRPr="2030048C" w:rsidP="2030048C">
      <w:pPr>
        <w:pStyle w:val="p0"/>
        <w:spacing w:before="0" w:after="0"/>
        <w:ind w:left="1418" w:right="0" w:hanging="70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BodyText2"/>
        <w:numPr>
          <w:ilvl w:val="0"/>
          <w:numId w:val="21"/>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Have an opportunity to study a subject area which is relevant to the field but also satisfies the individual's background and experience.</w:t>
      </w:r>
    </w:p>
    <w:p w:rsidRPr="2030048C" w:rsidP="2030048C">
      <w:pPr>
        <w:pStyle w:val="BodyText2"/>
        <w:spacing w:before="0" w:after="0"/>
        <w:ind w:left="709" w:right="0" w:hanging="709"/>
        <w:jc w:val="both"/>
        <w:rPr>
          <w:rStyle w:val="normaltextrun"/>
          <w:rFonts w:ascii="Arial" w:eastAsia="Arial" w:hAnsi="Arial" w:cs="Arial"/>
          <w:color w:val="000000" w:themeColor="text1"/>
          <w:sz w:val="22"/>
          <w:szCs w:val="22"/>
          <w:shd w:val="clear" w:color="auto" w:fill="FFFFFF"/>
        </w:rPr>
      </w:pPr>
    </w:p>
    <w:p w:rsidRPr="2030048C" w:rsidP="2030048C">
      <w:pPr>
        <w:pStyle w:val="BodyText2"/>
        <w:numPr>
          <w:ilvl w:val="0"/>
          <w:numId w:val="22"/>
        </w:numPr>
        <w:pBdr>
          <w:left w:val="none" w:sz="0" w:space="25" w:color="auto"/>
        </w:pBdr>
        <w:spacing w:before="0" w:after="0"/>
        <w:ind w:left="1418" w:right="0" w:hanging="868"/>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Have the ability to</w:t>
      </w:r>
      <w:r w:rsidRPr="2030048C">
        <w:rPr>
          <w:rStyle w:val="normaltextrun"/>
          <w:rFonts w:ascii="Arial" w:eastAsia="Arial" w:hAnsi="Arial" w:cs="Arial"/>
          <w:color w:val="000000" w:themeColor="text1"/>
          <w:sz w:val="22"/>
          <w:szCs w:val="22"/>
          <w:shd w:val="clear" w:color="auto" w:fill="FFFFFF"/>
        </w:rPr>
        <w:t xml:space="preserve"> apply specialised knowledge and skills to the analysis and solution of novel design problems in commerce and industry.</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ListParagraph0"/>
        <w:spacing w:before="0" w:after="0"/>
        <w:ind w:left="0" w:right="0"/>
        <w:rPr>
          <w:rStyle w:val="normaltextrun"/>
          <w:rFonts w:ascii="Arial" w:eastAsia="Arial" w:hAnsi="Arial" w:cs="Arial"/>
          <w:i/>
          <w:iCs/>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 (With Professional Placement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practices and ideas: methods, materials, processes and technologies appropriate to user experience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individual creativity, vision, personal expression and intellectual ability in their chosen professional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awareness of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 self-critical and reflective approach to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engage and undertake sustained, research,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communicate ideas through the appropriate level of visual, written and oral presentation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the design process and problem solving in both disciplinary and interdisciplinary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relevant and appropriate theoretical and practical ideas and integrate these within the design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broad range of materials, processes and presentation techniques appropriate to context, projects and audience successfully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the capacity to critically appraise both traditional and current approaches to User Experience Design and the understanding of the relationship between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apply advanced critical knowledge of the contemporary contexts of design in evaluating own and others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appropriate visual material from a variety of primary and secondary research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course is part of the University’s Postgraduate Regulations (PR).  </w:t>
      </w:r>
      <w:r w:rsidRPr="2030048C">
        <w:rPr>
          <w:rFonts w:ascii="Arial" w:eastAsia="Arial" w:hAnsi="Arial" w:cs="Arial"/>
          <w:color w:val="000000" w:themeColor="text1" w:themeShade="FF" w:themeTint="FF"/>
          <w:sz w:val="24"/>
          <w:szCs w:val="24"/>
        </w:rPr>
        <w:t>Courses in the PR are made up of modules that are designated at level 7.</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Single taught modules in the courses are valued at 30 credits and the course contains a project that has 60 credits.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minimum requirement for a Postgraduate Certificate is 60 credits, for a Postgraduate Diploma 120 credits and a </w:t>
      </w:r>
      <w:r w:rsidRPr="2030048C">
        <w:rPr>
          <w:rFonts w:ascii="Arial" w:eastAsia="Arial" w:hAnsi="Arial" w:cs="Arial"/>
          <w:color w:val="000000" w:themeColor="text1" w:themeShade="FF" w:themeTint="FF"/>
          <w:sz w:val="24"/>
          <w:szCs w:val="24"/>
        </w:rPr>
        <w:t>Masters Degree</w:t>
      </w:r>
      <w:r w:rsidRPr="2030048C">
        <w:rPr>
          <w:rFonts w:ascii="Arial" w:eastAsia="Arial" w:hAnsi="Arial" w:cs="Arial"/>
          <w:color w:val="000000" w:themeColor="text1" w:themeShade="FF" w:themeTint="FF"/>
          <w:sz w:val="24"/>
          <w:szCs w:val="24"/>
        </w:rPr>
        <w:t xml:space="preserve"> 180 credits.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offers the PG Certificate as an exit award only and is based on the student passing any coherent subset of the taught modules.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awards available are detailed in section A and the requirements are outlined below.</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PR regulations in the student handbook.</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Courses are offered as 1 year full-time, and normally 2-3 years part-time. The course design fully considers all student groups.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Delivery of modules is either by two 1-week blocks separated by several weeks, or full-day sessions spread over a teaching block.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Overseas students are also able to complete their degree within VISA limitations.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Full-time students will complete the programme of study and assessment in 52 weeks.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normal study pattern for part-time students is that they should complete 4 modules over a </w:t>
      </w:r>
      <w:r w:rsidRPr="2030048C">
        <w:rPr>
          <w:rFonts w:ascii="Arial" w:eastAsia="Arial" w:hAnsi="Arial" w:cs="Arial"/>
          <w:color w:val="000000" w:themeColor="text1" w:themeShade="FF" w:themeTint="FF"/>
          <w:sz w:val="24"/>
          <w:szCs w:val="24"/>
        </w:rPr>
        <w:t>two to three year</w:t>
      </w:r>
      <w:r w:rsidRPr="2030048C">
        <w:rPr>
          <w:rFonts w:ascii="Arial" w:eastAsia="Arial" w:hAnsi="Arial" w:cs="Arial"/>
          <w:color w:val="000000" w:themeColor="text1" w:themeShade="FF" w:themeTint="FF"/>
          <w:sz w:val="24"/>
          <w:szCs w:val="24"/>
        </w:rPr>
        <w:t xml:space="preserve"> period and complete their project within the same period.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Because of the structure of the course, part-time students may be able to commence the course at different times during the academic year after discussion with the Course Leader of relevant issues, including the need for specific preparatory study.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Normally, each module will include approximately 60 hours contact time, followed by directed learning resulting in a total of 300 hours of student effort.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project is the equivalent of two modules and requires 600 hours of student effort.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January intake is accommodated by ensuring that two technical modules are delivered in the Spring semester.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ensures that all students, including January starters can complete the individual project in the summer without disadvantage.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address advanced ethics and professional issues, these issues are addressed within the context of technical core modules taken before the project is conducted, specifically, within </w:t>
      </w:r>
      <w:r w:rsidRPr="2030048C">
        <w:rPr>
          <w:rFonts w:ascii="Arial" w:eastAsia="Arial" w:hAnsi="Arial" w:cs="Arial"/>
          <w:color w:val="000000" w:themeColor="text1" w:themeShade="FF" w:themeTint="FF"/>
          <w:sz w:val="24"/>
          <w:szCs w:val="24"/>
        </w:rPr>
        <w:t xml:space="preserve">Induction, </w:t>
      </w:r>
      <w:r w:rsidRPr="2030048C">
        <w:rPr>
          <w:rFonts w:ascii="Arial" w:eastAsia="Arial" w:hAnsi="Arial" w:cs="Arial"/>
          <w:color w:val="000000" w:themeColor="text1" w:themeShade="FF" w:themeTint="FF"/>
          <w:sz w:val="24"/>
          <w:szCs w:val="24"/>
        </w:rPr>
        <w:t>Digital Studio Practice, and the Individual Project.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prevent assessment bunching and over assessment, there is a planning meeting at the beginning of teaching blocks 1 and 2.</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modules each worth 30 credit points plus an individual project worth 60 credits. All students will be provided with the University regulations and specific additions that are sometimes required for accreditation by outside bodies (</w:t>
      </w:r>
      <w:r w:rsidRPr="2030048C">
        <w:rPr>
          <w:rFonts w:ascii="Arial" w:eastAsia="Arial" w:hAnsi="Arial" w:cs="Arial"/>
          <w:color w:val="000000" w:themeColor="text1" w:themeShade="FF" w:themeTint="FF"/>
          <w:sz w:val="24"/>
          <w:szCs w:val="24"/>
        </w:rPr>
        <w:t>e.g.</w:t>
      </w:r>
      <w:r w:rsidRPr="2030048C">
        <w:rPr>
          <w:rFonts w:ascii="Arial" w:eastAsia="Arial" w:hAnsi="Arial" w:cs="Arial"/>
          <w:color w:val="000000" w:themeColor="text1" w:themeShade="FF" w:themeTint="FF"/>
          <w:sz w:val="24"/>
          <w:szCs w:val="24"/>
        </w:rPr>
        <w:t xml:space="preserve"> professional or statutory bodies that confer professional accreditation).</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the full-time students, the course is for one year, with two modules per semester and the final project. All modules are assignment-based and each one is worth 30-credits. The part time students have one module per semester and the course is for two years.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academic year is comprised of two Blocks. Some modules run across the teaching block for 10 weeks generally on a time-tabled day. Other modules run over two whole weeks. Although you do not have lectures in every week of the term time, you are obliged to remain in contact with the university during term time and be available to come in if necessary.</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starting the course in September will work on the placement for between 10 – 12 months, after com</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leting their dissertation starting from October. Those students must confirm their placement before 15 August.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User Experience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User Experience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Beyond Optimising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Thinking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User Experience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Final Project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UX for Emerging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rPr>
          <w:rFonts w:ascii="Arial" w:eastAsia="Arial" w:hAnsi="Arial" w:cs="Arial"/>
          <w:b/>
          <w:bCs/>
          <w:sz w:val="24"/>
          <w:szCs w:val="24"/>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Digital Media Kingston promotes and sustains a distinctive pattern of teaching and learning practices. Teaching and learning strategies have developed in close relation to the digital media subjects, </w:t>
      </w:r>
      <w:r w:rsidRPr="2030048C">
        <w:rPr>
          <w:rFonts w:ascii="Arial" w:eastAsia="Arial" w:hAnsi="Arial" w:cs="Arial"/>
          <w:sz w:val="22"/>
          <w:szCs w:val="22"/>
        </w:rPr>
        <w:t>disciplines</w:t>
      </w:r>
      <w:r w:rsidRPr="2030048C">
        <w:rPr>
          <w:rFonts w:ascii="Arial" w:eastAsia="Arial" w:hAnsi="Arial" w:cs="Arial"/>
          <w:sz w:val="22"/>
          <w:szCs w:val="22"/>
        </w:rPr>
        <w:t xml:space="preserve">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Body"/>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Students are strongly encouraged to develop their own informed and creative approach, </w:t>
      </w:r>
      <w:r w:rsidRPr="2030048C">
        <w:rPr>
          <w:rFonts w:ascii="Arial" w:eastAsia="Arial" w:hAnsi="Arial" w:cs="Arial"/>
          <w:sz w:val="22"/>
          <w:szCs w:val="22"/>
        </w:rPr>
        <w:t>taking into account</w:t>
      </w:r>
      <w:r w:rsidRPr="2030048C">
        <w:rPr>
          <w:rFonts w:ascii="Arial" w:eastAsia="Arial" w:hAnsi="Arial" w:cs="Arial"/>
          <w:sz w:val="22"/>
          <w:szCs w:val="22"/>
        </w:rPr>
        <w:t xml:space="preserve"> contemporary research, current industry and digital media practices. This is achieved through the teaching philosophy at DMK, which highlights the importance of knowledge of the contemporary and future digital media context and through awareness of the forces and issues that influence society and industry to meet the needs of present and future generations.</w:t>
      </w:r>
      <w:r w:rsidRPr="2030048C">
        <w:rPr>
          <w:rFonts w:ascii="Arial" w:eastAsia="Arial" w:hAnsi="Arial" w:cs="Arial"/>
          <w:sz w:val="22"/>
          <w:szCs w:val="22"/>
          <w:shd w:val="clear" w:color="auto" w:fill="00FFFF"/>
        </w:rPr>
        <w:t xml:space="preserve"> </w:t>
      </w:r>
    </w:p>
    <w:p w:rsidRPr="2030048C" w:rsidP="2030048C">
      <w:pPr>
        <w:pStyle w:val="Body"/>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approach to Teaching, Learning and Assessment is informed by Kingston University’s strategic plan: </w:t>
      </w:r>
      <w:r w:rsidRPr="2030048C">
        <w:rPr>
          <w:rFonts w:ascii="Arial" w:eastAsia="Arial" w:hAnsi="Arial" w:cs="Arial"/>
          <w:i/>
          <w:iCs/>
          <w:sz w:val="22"/>
          <w:szCs w:val="22"/>
        </w:rPr>
        <w:t>Led by Learning</w:t>
      </w:r>
      <w:r w:rsidRPr="2030048C">
        <w:rPr>
          <w:rFonts w:ascii="Arial" w:eastAsia="Arial" w:hAnsi="Arial" w:cs="Arial"/>
          <w:sz w:val="22"/>
          <w:szCs w:val="22"/>
        </w:rPr>
        <w:t xml:space="preserve">. </w:t>
      </w:r>
      <w:r w:rsidRPr="2030048C">
        <w:rPr>
          <w:rFonts w:ascii="Arial" w:eastAsia="Arial" w:hAnsi="Arial" w:cs="Arial"/>
          <w:sz w:val="22"/>
          <w:szCs w:val="22"/>
        </w:rPr>
        <w:t>In particular this</w:t>
      </w:r>
      <w:r w:rsidRPr="2030048C">
        <w:rPr>
          <w:rFonts w:ascii="Arial" w:eastAsia="Arial" w:hAnsi="Arial" w:cs="Arial"/>
          <w:sz w:val="22"/>
          <w:szCs w:val="22"/>
        </w:rPr>
        <w:t xml:space="preserve"> provides an emphasis on key aspects of our approach: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encouragement and support of </w:t>
      </w:r>
      <w:r w:rsidRPr="2030048C">
        <w:rPr>
          <w:rFonts w:ascii="Arial" w:eastAsia="Arial" w:hAnsi="Arial" w:cs="Arial"/>
          <w:sz w:val="22"/>
          <w:szCs w:val="22"/>
        </w:rPr>
        <w:t>high quality</w:t>
      </w:r>
      <w:r w:rsidRPr="2030048C">
        <w:rPr>
          <w:rFonts w:ascii="Arial" w:eastAsia="Arial" w:hAnsi="Arial" w:cs="Arial"/>
          <w:sz w:val="22"/>
          <w:szCs w:val="22"/>
        </w:rPr>
        <w:t xml:space="preserve"> teaching informed by research and best practice.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An environment that will create, test, share and spread knowledge for its own sake. </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Those delivering teaching will be engaged in the development of their discipline.</w:t>
      </w:r>
    </w:p>
    <w:p w:rsidRPr="2030048C" w:rsidP="2030048C">
      <w:pPr>
        <w:pStyle w:val="li0"/>
        <w:numPr>
          <w:ilvl w:val="0"/>
          <w:numId w:val="24"/>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The course team will enable students to have the choices and the skills needed for fulfilling professional employment.</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2030048C">
        <w:rPr>
          <w:rFonts w:ascii="Arial" w:eastAsia="Arial" w:hAnsi="Arial" w:cs="Arial"/>
          <w:i/>
          <w:iCs/>
          <w:sz w:val="22"/>
          <w:szCs w:val="22"/>
        </w:rPr>
        <w:t xml:space="preserve"> producing</w:t>
      </w:r>
      <w:r w:rsidRPr="2030048C">
        <w:rPr>
          <w:rFonts w:ascii="Arial" w:eastAsia="Arial" w:hAnsi="Arial" w:cs="Arial"/>
          <w:sz w:val="22"/>
          <w:szCs w:val="22"/>
        </w:rPr>
        <w:t xml:space="preserve"> and </w:t>
      </w:r>
      <w:r w:rsidRPr="2030048C">
        <w:rPr>
          <w:rFonts w:ascii="Arial" w:eastAsia="Arial" w:hAnsi="Arial" w:cs="Arial"/>
          <w:i/>
          <w:iCs/>
          <w:sz w:val="22"/>
          <w:szCs w:val="22"/>
        </w:rPr>
        <w:t>pursuing</w:t>
      </w:r>
      <w:r w:rsidRPr="2030048C">
        <w:rPr>
          <w:rFonts w:ascii="Arial" w:eastAsia="Arial" w:hAnsi="Arial" w:cs="Arial"/>
          <w:sz w:val="22"/>
          <w:szCs w:val="22"/>
        </w:rPr>
        <w:t xml:space="preserve"> and </w:t>
      </w:r>
      <w:r w:rsidRPr="2030048C">
        <w:rPr>
          <w:rFonts w:ascii="Arial" w:eastAsia="Arial" w:hAnsi="Arial" w:cs="Arial"/>
          <w:i/>
          <w:iCs/>
          <w:sz w:val="22"/>
          <w:szCs w:val="22"/>
        </w:rPr>
        <w:t>producing</w:t>
      </w:r>
      <w:r w:rsidRPr="2030048C">
        <w:rPr>
          <w:rFonts w:ascii="Arial" w:eastAsia="Arial" w:hAnsi="Arial" w:cs="Arial"/>
          <w:sz w:val="22"/>
          <w:szCs w:val="22"/>
        </w:rPr>
        <w:t xml:space="preserve"> and </w:t>
      </w:r>
      <w:r w:rsidRPr="2030048C">
        <w:rPr>
          <w:rFonts w:ascii="Arial" w:eastAsia="Arial" w:hAnsi="Arial" w:cs="Arial"/>
          <w:i/>
          <w:iCs/>
          <w:sz w:val="22"/>
          <w:szCs w:val="22"/>
        </w:rPr>
        <w:t>authoring</w:t>
      </w:r>
      <w:r w:rsidRPr="2030048C">
        <w:rPr>
          <w:rFonts w:ascii="Arial" w:eastAsia="Arial" w:hAnsi="Arial" w:cs="Arial"/>
          <w:sz w:val="22"/>
          <w:szCs w:val="22"/>
        </w:rPr>
        <w:t xml:space="preserve">. These principles relate to the exploration of the discipline in response to questions, problems, </w:t>
      </w:r>
      <w:r w:rsidRPr="2030048C">
        <w:rPr>
          <w:rFonts w:ascii="Arial" w:eastAsia="Arial" w:hAnsi="Arial" w:cs="Arial"/>
          <w:sz w:val="22"/>
          <w:szCs w:val="22"/>
        </w:rPr>
        <w:t>scenarios</w:t>
      </w:r>
      <w:r w:rsidRPr="2030048C">
        <w:rPr>
          <w:rFonts w:ascii="Arial" w:eastAsia="Arial" w:hAnsi="Arial" w:cs="Arial"/>
          <w:sz w:val="22"/>
          <w:szCs w:val="22"/>
        </w:rPr>
        <w:t xml:space="preserve"> and lines of inquiry formulated by tutors and the progressive development of individual approaches based on the formulation of questions by the student. As the course progresses, this can also be expressed as the development from:</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i/>
          <w:iCs/>
          <w:sz w:val="22"/>
          <w:szCs w:val="22"/>
        </w:rPr>
        <w:t xml:space="preserve">How can I answer </w:t>
      </w:r>
      <w:r w:rsidRPr="2030048C">
        <w:rPr>
          <w:rFonts w:ascii="Arial" w:eastAsia="Arial" w:hAnsi="Arial" w:cs="Arial"/>
          <w:b/>
          <w:bCs/>
          <w:i/>
          <w:iCs/>
          <w:sz w:val="22"/>
          <w:szCs w:val="22"/>
        </w:rPr>
        <w:t>this</w:t>
      </w:r>
      <w:r w:rsidRPr="2030048C">
        <w:rPr>
          <w:rFonts w:ascii="Arial" w:eastAsia="Arial" w:hAnsi="Arial" w:cs="Arial"/>
          <w:i/>
          <w:iCs/>
          <w:sz w:val="22"/>
          <w:szCs w:val="22"/>
        </w:rPr>
        <w:t xml:space="preserve"> question?</w:t>
      </w:r>
      <w:r w:rsidRPr="2030048C">
        <w:rPr>
          <w:rFonts w:ascii="Arial" w:eastAsia="Arial" w:hAnsi="Arial" w:cs="Arial"/>
          <w:sz w:val="22"/>
          <w:szCs w:val="22"/>
        </w:rPr>
        <w:t xml:space="preserve"> to </w:t>
      </w:r>
      <w:r w:rsidRPr="2030048C">
        <w:rPr>
          <w:rFonts w:ascii="Arial" w:eastAsia="Arial" w:hAnsi="Arial" w:cs="Arial"/>
          <w:i/>
          <w:iCs/>
          <w:sz w:val="22"/>
          <w:szCs w:val="22"/>
        </w:rPr>
        <w:t xml:space="preserve">How can I answer </w:t>
      </w:r>
      <w:r w:rsidRPr="2030048C">
        <w:rPr>
          <w:rFonts w:ascii="Arial" w:eastAsia="Arial" w:hAnsi="Arial" w:cs="Arial"/>
          <w:b/>
          <w:bCs/>
          <w:i/>
          <w:iCs/>
          <w:sz w:val="22"/>
          <w:szCs w:val="22"/>
        </w:rPr>
        <w:t>my</w:t>
      </w:r>
      <w:r w:rsidRPr="2030048C">
        <w:rPr>
          <w:rFonts w:ascii="Arial" w:eastAsia="Arial" w:hAnsi="Arial" w:cs="Arial"/>
          <w:i/>
          <w:iCs/>
          <w:sz w:val="22"/>
          <w:szCs w:val="22"/>
        </w:rPr>
        <w:t xml:space="preserve"> question?</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identity and structure of the course are built upon the understanding that high quality and transformative learning occurs when students are: </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 xml:space="preserve">Engaged in authentic, challenging, enquiry-based activities. </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Working collaboratively with peers in a community of shared disciplinary and interdisciplinary practice.</w:t>
      </w:r>
    </w:p>
    <w:p w:rsidRPr="2030048C" w:rsidP="2030048C">
      <w:pPr>
        <w:pStyle w:val="li0"/>
        <w:numPr>
          <w:ilvl w:val="0"/>
          <w:numId w:val="25"/>
        </w:numPr>
        <w:pBdr>
          <w:left w:val="none" w:sz="0" w:space="11" w:color="auto"/>
        </w:pBdr>
        <w:spacing w:before="0" w:after="0" w:line="276" w:lineRule="auto"/>
        <w:ind w:left="426" w:right="0" w:hanging="585"/>
        <w:jc w:val="both"/>
        <w:rPr>
          <w:rFonts w:ascii="Times New Roman" w:eastAsia="Times New Roman" w:hAnsi="Times New Roman" w:cs="Times New Roman"/>
          <w:sz w:val="22"/>
          <w:szCs w:val="22"/>
        </w:rPr>
      </w:pPr>
      <w:r w:rsidRPr="2030048C">
        <w:rPr>
          <w:rFonts w:ascii="Arial" w:eastAsia="Arial" w:hAnsi="Arial" w:cs="Arial"/>
          <w:sz w:val="22"/>
          <w:szCs w:val="22"/>
        </w:rPr>
        <w:t>Able to reflect on and theorise their learning.</w:t>
      </w:r>
    </w:p>
    <w:p w:rsidRPr="2030048C" w:rsidP="2030048C">
      <w:pPr>
        <w:pStyle w:val="p"/>
        <w:spacing w:before="0" w:after="0" w:line="276" w:lineRule="auto"/>
        <w:ind w:left="426"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This has informed the development of shared learning outcomes across the courses within the PG framework and the focus of these outcomes on the practice of research and its relationship to purposeful making and enquiry in design.</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teaching and learning of practical digital media projects </w:t>
      </w:r>
      <w:r w:rsidRPr="2030048C">
        <w:rPr>
          <w:rFonts w:ascii="Arial" w:eastAsia="Arial" w:hAnsi="Arial" w:cs="Arial"/>
          <w:sz w:val="22"/>
          <w:szCs w:val="22"/>
        </w:rPr>
        <w:t>incorporates</w:t>
      </w:r>
      <w:r w:rsidRPr="2030048C">
        <w:rPr>
          <w:rFonts w:ascii="Arial" w:eastAsia="Arial" w:hAnsi="Arial" w:cs="Arial"/>
          <w:sz w:val="22"/>
          <w:szCs w:val="22"/>
        </w:rPr>
        <w:t>:</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Analysis of the project brief, research and insight gathering in to the ‘theme’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or objective and subsequent problem finding for problem solving.</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Analysis of context.</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Tools and strategies for creative problem solving and the idea development process.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The promotion of workshop practices and creative material usage and manipulation.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Teaching communication and presentation tools and techniques.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Teaching digital tools for design and realisation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Tutorials, lectures, </w:t>
      </w:r>
      <w:r w:rsidRPr="2030048C">
        <w:rPr>
          <w:rFonts w:ascii="Arial" w:eastAsia="Arial" w:hAnsi="Arial" w:cs="Arial"/>
          <w:sz w:val="22"/>
          <w:szCs w:val="22"/>
        </w:rPr>
        <w:t>seminars</w:t>
      </w:r>
      <w:r w:rsidRPr="2030048C">
        <w:rPr>
          <w:rFonts w:ascii="Arial" w:eastAsia="Arial" w:hAnsi="Arial" w:cs="Arial"/>
          <w:sz w:val="22"/>
          <w:szCs w:val="22"/>
        </w:rPr>
        <w:t xml:space="preserve"> and workshops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Developing </w:t>
      </w:r>
      <w:r w:rsidRPr="2030048C">
        <w:rPr>
          <w:rFonts w:ascii="Arial" w:eastAsia="Arial" w:hAnsi="Arial" w:cs="Arial"/>
          <w:sz w:val="22"/>
          <w:szCs w:val="22"/>
        </w:rPr>
        <w:t>students</w:t>
      </w:r>
      <w:r w:rsidRPr="2030048C">
        <w:rPr>
          <w:rFonts w:ascii="Arial" w:eastAsia="Arial" w:hAnsi="Arial" w:cs="Arial"/>
          <w:sz w:val="22"/>
          <w:szCs w:val="22"/>
        </w:rPr>
        <w:t xml:space="preserve"> ability to confidently communicate orally</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Project reviews and critiques to promote peer project discussion and debate.</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 Encouraging within </w:t>
      </w:r>
      <w:r w:rsidRPr="2030048C">
        <w:rPr>
          <w:rFonts w:ascii="Arial" w:eastAsia="Arial" w:hAnsi="Arial" w:cs="Arial"/>
          <w:sz w:val="22"/>
          <w:szCs w:val="22"/>
        </w:rPr>
        <w:t>students</w:t>
      </w:r>
      <w:r w:rsidRPr="2030048C">
        <w:rPr>
          <w:rFonts w:ascii="Arial" w:eastAsia="Arial" w:hAnsi="Arial" w:cs="Arial"/>
          <w:sz w:val="22"/>
          <w:szCs w:val="22"/>
        </w:rPr>
        <w:t xml:space="preserve"> self-reflection and self-criticism in relation to a sustainable media practice.</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continual and iterative nature of the making process requires a continual process of formative assessment and feedback </w:t>
      </w:r>
      <w:r w:rsidRPr="2030048C">
        <w:rPr>
          <w:rFonts w:ascii="Arial" w:eastAsia="Arial" w:hAnsi="Arial" w:cs="Arial"/>
          <w:sz w:val="22"/>
          <w:szCs w:val="22"/>
        </w:rPr>
        <w:t>through the use of</w:t>
      </w:r>
      <w:r w:rsidRPr="2030048C">
        <w:rPr>
          <w:rFonts w:ascii="Arial" w:eastAsia="Arial" w:hAnsi="Arial" w:cs="Arial"/>
          <w:sz w:val="22"/>
          <w:szCs w:val="22"/>
        </w:rPr>
        <w:t xml:space="preserve"> studio tutorials, reviews and group critiques. Summative assessment at the end of the module and formal feedback is provided following review of the submitted/presented project work. Summative assessment at the end of the course is based on the final project module.</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Course is designed to give students a balance of theoretical and practical experience.</w:t>
      </w:r>
      <w:r w:rsidRPr="2030048C">
        <w:rPr>
          <w:rFonts w:ascii="Arial" w:eastAsia="Arial" w:hAnsi="Arial" w:cs="Arial"/>
          <w:sz w:val="22"/>
          <w:szCs w:val="22"/>
        </w:rPr>
        <w:t xml:space="preserve">  </w:t>
      </w:r>
      <w:r w:rsidRPr="2030048C">
        <w:rPr>
          <w:rFonts w:ascii="Arial" w:eastAsia="Arial" w:hAnsi="Arial" w:cs="Arial"/>
          <w:sz w:val="22"/>
          <w:szCs w:val="22"/>
        </w:rPr>
        <w:t xml:space="preserve">Formal lectures are used </w:t>
      </w:r>
      <w:r w:rsidRPr="2030048C">
        <w:rPr>
          <w:rFonts w:ascii="Arial" w:eastAsia="Arial" w:hAnsi="Arial" w:cs="Arial"/>
          <w:sz w:val="22"/>
          <w:szCs w:val="22"/>
        </w:rPr>
        <w:t>in order to</w:t>
      </w:r>
      <w:r w:rsidRPr="2030048C">
        <w:rPr>
          <w:rFonts w:ascii="Arial" w:eastAsia="Arial" w:hAnsi="Arial" w:cs="Arial"/>
          <w:sz w:val="22"/>
          <w:szCs w:val="22"/>
        </w:rPr>
        <w:t xml:space="preserve"> give the students a good background understanding in the area and to develop the theoretical aspects. These are then often reinforced by practical sessions and/or industry specialists who contribute throughout the course </w:t>
      </w:r>
      <w:r w:rsidRPr="2030048C">
        <w:rPr>
          <w:rFonts w:ascii="Arial" w:eastAsia="Arial" w:hAnsi="Arial" w:cs="Arial"/>
          <w:sz w:val="22"/>
          <w:szCs w:val="22"/>
        </w:rPr>
        <w:t>in order to</w:t>
      </w:r>
      <w:r w:rsidRPr="2030048C">
        <w:rPr>
          <w:rFonts w:ascii="Arial" w:eastAsia="Arial" w:hAnsi="Arial" w:cs="Arial"/>
          <w:sz w:val="22"/>
          <w:szCs w:val="22"/>
        </w:rPr>
        <w:t xml:space="preserve"> give informative insight into industry developments.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practical workshops, open forums, newswires (</w:t>
      </w:r>
      <w:r w:rsidRPr="2030048C">
        <w:rPr>
          <w:rFonts w:ascii="Arial" w:eastAsia="Arial" w:hAnsi="Arial" w:cs="Arial"/>
          <w:sz w:val="22"/>
          <w:szCs w:val="22"/>
        </w:rPr>
        <w:t>e.g.</w:t>
      </w:r>
      <w:r w:rsidRPr="2030048C">
        <w:rPr>
          <w:rFonts w:ascii="Arial" w:eastAsia="Arial" w:hAnsi="Arial" w:cs="Arial"/>
          <w:sz w:val="22"/>
          <w:szCs w:val="22"/>
        </w:rPr>
        <w:t xml:space="preserve"> CBDiForum, earthweb, ebiz) and group presentations are introduced into the modules to provide students with a detailed understanding of the approaches taken in industry.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w:t>
      </w:r>
      <w:r w:rsidRPr="2030048C">
        <w:rPr>
          <w:rFonts w:ascii="Arial" w:eastAsia="Arial" w:hAnsi="Arial" w:cs="Arial"/>
          <w:sz w:val="22"/>
          <w:szCs w:val="22"/>
        </w:rPr>
        <w:t>practicals</w:t>
      </w:r>
      <w:r w:rsidRPr="2030048C">
        <w:rPr>
          <w:rFonts w:ascii="Arial" w:eastAsia="Arial" w:hAnsi="Arial" w:cs="Arial"/>
          <w:sz w:val="22"/>
          <w:szCs w:val="22"/>
        </w:rPr>
        <w:t xml:space="preserve"> and case studies embedded within most modules.</w:t>
      </w:r>
      <w:r w:rsidRPr="2030048C">
        <w:rPr>
          <w:rFonts w:ascii="Arial" w:eastAsia="Arial" w:hAnsi="Arial" w:cs="Arial"/>
          <w:sz w:val="22"/>
          <w:szCs w:val="22"/>
        </w:rPr>
        <w:t xml:space="preserve">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student is then required to further explore and exploit the information given in the modules through guided self study which will require them to research and define the outcomes accurately and produce detailed solutions and innovative work.</w:t>
      </w:r>
      <w:r w:rsidRPr="2030048C">
        <w:rPr>
          <w:rFonts w:ascii="Arial" w:eastAsia="Arial" w:hAnsi="Arial" w:cs="Arial"/>
          <w:sz w:val="22"/>
          <w:szCs w:val="22"/>
        </w:rPr>
        <w:t xml:space="preserve">  </w:t>
      </w:r>
      <w:r w:rsidRPr="2030048C">
        <w:rPr>
          <w:rFonts w:ascii="Arial" w:eastAsia="Arial" w:hAnsi="Arial" w:cs="Arial"/>
          <w:sz w:val="22"/>
          <w:szCs w:val="22"/>
        </w:rPr>
        <w:t xml:space="preserve">This work is designed to enable the students to build up their competencies in research and in writing reports and will enable them to further develop this expertise </w:t>
      </w:r>
      <w:r w:rsidRPr="2030048C">
        <w:rPr>
          <w:rFonts w:ascii="Arial" w:eastAsia="Arial" w:hAnsi="Arial" w:cs="Arial"/>
          <w:sz w:val="22"/>
          <w:szCs w:val="22"/>
        </w:rPr>
        <w:t>in order for</w:t>
      </w:r>
      <w:r w:rsidRPr="2030048C">
        <w:rPr>
          <w:rFonts w:ascii="Arial" w:eastAsia="Arial" w:hAnsi="Arial" w:cs="Arial"/>
          <w:sz w:val="22"/>
          <w:szCs w:val="22"/>
        </w:rPr>
        <w:t xml:space="preserve"> them to produce their project dissertation. </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It is recognised that team working is a very important aspect in </w:t>
      </w:r>
      <w:r w:rsidRPr="2030048C">
        <w:rPr>
          <w:rFonts w:ascii="Arial" w:eastAsia="Arial" w:hAnsi="Arial" w:cs="Arial"/>
          <w:sz w:val="22"/>
          <w:szCs w:val="22"/>
        </w:rPr>
        <w:t>industry</w:t>
      </w:r>
      <w:r w:rsidRPr="2030048C">
        <w:rPr>
          <w:rFonts w:ascii="Arial" w:eastAsia="Arial" w:hAnsi="Arial" w:cs="Arial"/>
          <w:sz w:val="22"/>
          <w:szCs w:val="22"/>
        </w:rPr>
        <w:t xml:space="preserve"> and this is reflected during the modules. The course ensures that the students are exposed to team working through group presentations, joint report writing, joint research and lab work.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course team are aware of the need for effective communication, both written and verbal, and the course prides itself on preparing the students for their </w:t>
      </w:r>
      <w:r w:rsidRPr="2030048C">
        <w:rPr>
          <w:rFonts w:ascii="Arial" w:eastAsia="Arial" w:hAnsi="Arial" w:cs="Arial"/>
          <w:sz w:val="22"/>
          <w:szCs w:val="22"/>
        </w:rPr>
        <w:t>longer term</w:t>
      </w:r>
      <w:r w:rsidRPr="2030048C">
        <w:rPr>
          <w:rFonts w:ascii="Arial" w:eastAsia="Arial" w:hAnsi="Arial" w:cs="Arial"/>
          <w:sz w:val="22"/>
          <w:szCs w:val="22"/>
        </w:rPr>
        <w:t xml:space="preserve"> career plans and CPD.</w:t>
      </w:r>
      <w:r w:rsidRPr="2030048C">
        <w:rPr>
          <w:rFonts w:ascii="Arial" w:eastAsia="Arial" w:hAnsi="Arial" w:cs="Arial"/>
          <w:sz w:val="22"/>
          <w:szCs w:val="22"/>
        </w:rPr>
        <w:t xml:space="preserve">  </w:t>
      </w:r>
      <w:r w:rsidRPr="2030048C">
        <w:rPr>
          <w:rFonts w:ascii="Arial" w:eastAsia="Arial" w:hAnsi="Arial" w:cs="Arial"/>
          <w:sz w:val="22"/>
          <w:szCs w:val="22"/>
        </w:rPr>
        <w:t xml:space="preserve">Apart from the project itself, each student </w:t>
      </w:r>
      <w:r w:rsidRPr="2030048C">
        <w:rPr>
          <w:rFonts w:ascii="Arial" w:eastAsia="Arial" w:hAnsi="Arial" w:cs="Arial"/>
          <w:sz w:val="22"/>
          <w:szCs w:val="22"/>
        </w:rPr>
        <w:t>has to</w:t>
      </w:r>
      <w:r w:rsidRPr="2030048C">
        <w:rPr>
          <w:rFonts w:ascii="Arial" w:eastAsia="Arial" w:hAnsi="Arial" w:cs="Arial"/>
          <w:sz w:val="22"/>
          <w:szCs w:val="22"/>
        </w:rPr>
        <w:t xml:space="preserve"> give verbal presentations during the modules, normally to the student’s peer group and module leader.</w:t>
      </w:r>
      <w:r w:rsidRPr="2030048C">
        <w:rPr>
          <w:rFonts w:ascii="Arial" w:eastAsia="Arial" w:hAnsi="Arial" w:cs="Arial"/>
          <w:sz w:val="22"/>
          <w:szCs w:val="22"/>
        </w:rPr>
        <w:t xml:space="preserve">  </w:t>
      </w:r>
      <w:r w:rsidRPr="2030048C">
        <w:rPr>
          <w:rFonts w:ascii="Arial" w:eastAsia="Arial" w:hAnsi="Arial" w:cs="Arial"/>
          <w:sz w:val="22"/>
          <w:szCs w:val="22"/>
        </w:rPr>
        <w:t>Students are also helped with verbal communication skills through discussion groups. Many modules are assessed by written assignments that are designed to improve students’ research and evaluation skills.</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Students will be given close guidance to select a project that is relevant to their background and specialisation. During the project, the student will be expected to apply the knowledge that he/she has learnt during the course </w:t>
      </w:r>
      <w:r w:rsidRPr="2030048C">
        <w:rPr>
          <w:rFonts w:ascii="Arial" w:eastAsia="Arial" w:hAnsi="Arial" w:cs="Arial"/>
          <w:sz w:val="22"/>
          <w:szCs w:val="22"/>
        </w:rPr>
        <w:t>in order to</w:t>
      </w:r>
      <w:r w:rsidRPr="2030048C">
        <w:rPr>
          <w:rFonts w:ascii="Arial" w:eastAsia="Arial" w:hAnsi="Arial" w:cs="Arial"/>
          <w:sz w:val="22"/>
          <w:szCs w:val="22"/>
        </w:rPr>
        <w:t xml:space="preserve"> achieve a deliverable whilst satisfying any given constraints. Key skills in communication, presentation, literature search, problem analysis, project planning, report </w:t>
      </w:r>
      <w:r w:rsidRPr="2030048C">
        <w:rPr>
          <w:rFonts w:ascii="Arial" w:eastAsia="Arial" w:hAnsi="Arial" w:cs="Arial"/>
          <w:sz w:val="22"/>
          <w:szCs w:val="22"/>
        </w:rPr>
        <w:t>writing</w:t>
      </w:r>
      <w:r w:rsidRPr="2030048C">
        <w:rPr>
          <w:rFonts w:ascii="Arial" w:eastAsia="Arial" w:hAnsi="Arial" w:cs="Arial"/>
          <w:sz w:val="22"/>
          <w:szCs w:val="22"/>
        </w:rPr>
        <w:t xml:space="preserve"> and solution justification are all part of the learning outcomes defined in this course.</w:t>
      </w:r>
    </w:p>
    <w:p w:rsidRPr="2030048C" w:rsidP="2030048C">
      <w:pPr>
        <w:pStyle w:val="p"/>
        <w:spacing w:before="0" w:after="0" w:line="276" w:lineRule="auto"/>
        <w:ind w:left="0" w:right="0"/>
        <w:rPr>
          <w:rFonts w:ascii="Arial" w:eastAsia="Arial" w:hAnsi="Arial" w:cs="Arial"/>
          <w:sz w:val="22"/>
          <w:szCs w:val="22"/>
        </w:rPr>
      </w:pPr>
    </w:p>
    <w:p w:rsidRPr="2030048C" w:rsidP="2030048C">
      <w:pPr>
        <w:pStyle w:val="p"/>
        <w:spacing w:before="0" w:after="0" w:line="276" w:lineRule="auto"/>
        <w:ind w:left="0" w:right="0"/>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Contact Time</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Typically contact time with students consists of:</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Formal lectures:</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Face-to-face</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 xml:space="preserve">Video or audio lectures, upload or </w:t>
      </w:r>
      <w:r w:rsidRPr="2030048C">
        <w:rPr>
          <w:rFonts w:ascii="Arial" w:eastAsia="Arial" w:hAnsi="Arial" w:cs="Arial"/>
          <w:b w:val="0"/>
          <w:bCs w:val="0"/>
          <w:sz w:val="22"/>
          <w:szCs w:val="22"/>
        </w:rPr>
        <w:t>web-cast</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Computer workshops/laboratories:</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 xml:space="preserve">Individual projects </w:t>
      </w:r>
    </w:p>
    <w:p w:rsidRPr="2030048C" w:rsidP="2030048C">
      <w:pPr>
        <w:pStyle w:val="cHons"/>
        <w:numPr>
          <w:ilvl w:val="0"/>
          <w:numId w:val="26"/>
        </w:numPr>
        <w:pBdr>
          <w:left w:val="none" w:sz="0" w:space="6" w:color="auto"/>
        </w:pBdr>
        <w:spacing w:before="0" w:after="0" w:line="276" w:lineRule="auto"/>
        <w:ind w:left="1440" w:right="0" w:hanging="488"/>
        <w:jc w:val="both"/>
        <w:rPr>
          <w:rFonts w:ascii="Times New Roman" w:eastAsia="Times New Roman" w:hAnsi="Times New Roman" w:cs="Times New Roman"/>
          <w:b w:val="0"/>
          <w:bCs w:val="0"/>
          <w:sz w:val="22"/>
          <w:szCs w:val="22"/>
        </w:rPr>
      </w:pPr>
      <w:r w:rsidRPr="2030048C">
        <w:rPr>
          <w:rFonts w:ascii="Arial" w:eastAsia="Arial" w:hAnsi="Arial" w:cs="Arial"/>
          <w:b w:val="0"/>
          <w:bCs w:val="0"/>
          <w:sz w:val="22"/>
          <w:szCs w:val="22"/>
        </w:rPr>
        <w:t>Group projects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Seminars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Problem solving classes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Independent and guided learning from e-resources, texts and </w:t>
      </w:r>
      <w:r w:rsidRPr="2030048C">
        <w:rPr>
          <w:rFonts w:ascii="Arial" w:eastAsia="Arial" w:hAnsi="Arial" w:cs="Arial"/>
          <w:b w:val="0"/>
          <w:bCs w:val="0"/>
          <w:sz w:val="22"/>
          <w:szCs w:val="22"/>
        </w:rPr>
        <w:t>work books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Research projects</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Simulations </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Visits, from or to, outside organizations</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Assessment</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e-learning: Online forums; Twitter and other forms of social media; Blended learning; Video/Audio materials</w:t>
      </w:r>
    </w:p>
    <w:p w:rsidRPr="2030048C" w:rsidP="2030048C">
      <w:pPr>
        <w:pStyle w:val="p"/>
        <w:spacing w:before="0" w:after="0" w:line="276" w:lineRule="auto"/>
        <w:ind w:left="0" w:right="0"/>
        <w:jc w:val="both"/>
        <w:rPr>
          <w:rFonts w:ascii="Arial" w:eastAsia="Arial" w:hAnsi="Arial" w:cs="Arial"/>
          <w:b/>
          <w:bCs/>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Canvas</w:t>
      </w:r>
    </w:p>
    <w:p w:rsidRPr="2030048C" w:rsidP="2030048C">
      <w:pPr>
        <w:pStyle w:val="p"/>
        <w:spacing w:before="0" w:after="12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Canvas, the university’s learning management system, is used extensively in all modules as a means of dissemination of lecture notes, worksheets, assignments, reference materials, links, </w:t>
      </w:r>
      <w:r w:rsidRPr="2030048C">
        <w:rPr>
          <w:rFonts w:ascii="Arial" w:eastAsia="Arial" w:hAnsi="Arial" w:cs="Arial"/>
          <w:sz w:val="22"/>
          <w:szCs w:val="22"/>
        </w:rPr>
        <w:t>videos</w:t>
      </w:r>
      <w:r w:rsidRPr="2030048C">
        <w:rPr>
          <w:rFonts w:ascii="Arial" w:eastAsia="Arial" w:hAnsi="Arial" w:cs="Arial"/>
          <w:sz w:val="22"/>
          <w:szCs w:val="22"/>
        </w:rPr>
        <w:t xml:space="preserve"> and lecturer annotated slides. In this way it acts as a repository for learning materials to be used by the students for independent study and in addition in some modules, for formative and summative tests and surveys.</w:t>
      </w:r>
    </w:p>
    <w:p w:rsidRPr="2030048C" w:rsidP="2030048C">
      <w:pPr>
        <w:pStyle w:val="BodyText20"/>
        <w:spacing w:before="0" w:after="12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b/>
          <w:bCs/>
          <w:sz w:val="22"/>
          <w:szCs w:val="22"/>
        </w:rPr>
        <w:t xml:space="preserve">Assessment and Feedback </w:t>
      </w:r>
    </w:p>
    <w:p w:rsidRPr="2030048C" w:rsidP="2030048C">
      <w:pPr>
        <w:pStyle w:val="Pa3"/>
        <w:spacing w:before="0" w:after="120" w:line="276" w:lineRule="auto"/>
        <w:ind w:left="0" w:right="0"/>
        <w:jc w:val="both"/>
        <w:rPr>
          <w:rFonts w:ascii="StoneSans" w:eastAsia="StoneSans" w:hAnsi="StoneSans" w:cs="StoneSans"/>
          <w:sz w:val="22"/>
          <w:szCs w:val="22"/>
        </w:rPr>
      </w:pPr>
      <w:r w:rsidRPr="2030048C">
        <w:rPr>
          <w:rFonts w:ascii="Arial" w:eastAsia="Arial" w:hAnsi="Arial" w:cs="Arial"/>
          <w:sz w:val="22"/>
          <w:szCs w:val="22"/>
        </w:rPr>
        <w:t>There are ample opportunities given to students for formative assessment with rapid feedback that is an important aid to students’ learning and subsequent summative assessment.</w:t>
      </w:r>
      <w:r w:rsidRPr="2030048C">
        <w:rPr>
          <w:rFonts w:ascii="Arial" w:eastAsia="Arial" w:hAnsi="Arial" w:cs="Arial"/>
          <w:sz w:val="22"/>
          <w:szCs w:val="22"/>
        </w:rPr>
        <w:t xml:space="preserve">  </w:t>
      </w:r>
    </w:p>
    <w:p w:rsidRPr="2030048C" w:rsidP="2030048C">
      <w:pPr>
        <w:pStyle w:val="p"/>
        <w:spacing w:before="0" w:after="0"/>
        <w:ind w:left="0" w:right="0"/>
        <w:rPr>
          <w:rFonts w:ascii="Times New Roman" w:eastAsia="Times New Roman" w:hAnsi="Times New Roman" w:cs="Times New Roman"/>
          <w:sz w:val="24"/>
          <w:szCs w:val="24"/>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A wide range of other assessment mechanisms, outlined in section C above, are used to ensure that students with different backgrounds and different strengths are not disadvantaged and to ensure that our students </w:t>
      </w:r>
      <w:r w:rsidRPr="2030048C">
        <w:rPr>
          <w:rFonts w:ascii="Arial" w:eastAsia="Arial" w:hAnsi="Arial" w:cs="Arial"/>
          <w:sz w:val="22"/>
          <w:szCs w:val="22"/>
        </w:rPr>
        <w:t>are capable of tackling</w:t>
      </w:r>
      <w:r w:rsidRPr="2030048C">
        <w:rPr>
          <w:rFonts w:ascii="Arial" w:eastAsia="Arial" w:hAnsi="Arial" w:cs="Arial"/>
          <w:sz w:val="22"/>
          <w:szCs w:val="22"/>
        </w:rPr>
        <w:t xml:space="preserve"> many different types of problems. The methods of assessment have been selected </w:t>
      </w:r>
      <w:r w:rsidRPr="2030048C">
        <w:rPr>
          <w:rFonts w:ascii="Arial" w:eastAsia="Arial" w:hAnsi="Arial" w:cs="Arial"/>
          <w:sz w:val="22"/>
          <w:szCs w:val="22"/>
        </w:rPr>
        <w:t>so as to</w:t>
      </w:r>
      <w:r w:rsidRPr="2030048C">
        <w:rPr>
          <w:rFonts w:ascii="Arial" w:eastAsia="Arial" w:hAnsi="Arial" w:cs="Arial"/>
          <w:sz w:val="22"/>
          <w:szCs w:val="22"/>
        </w:rPr>
        <w:t xml:space="preserve"> be most appropriate for the nature of the subject material, teaching style and learning outcomes in each module and the balance between the various assessment methods for each module reflects the specified learning outcomes.</w:t>
      </w:r>
    </w:p>
    <w:p w:rsidRPr="2030048C" w:rsidP="2030048C">
      <w:pPr>
        <w:pStyle w:val="p"/>
        <w:spacing w:before="0" w:after="0" w:line="276" w:lineRule="auto"/>
        <w:ind w:left="0" w:right="0"/>
        <w:jc w:val="both"/>
        <w:rPr>
          <w:rFonts w:ascii="Arial" w:eastAsia="Arial" w:hAnsi="Arial" w:cs="Arial"/>
          <w:sz w:val="22"/>
          <w:szCs w:val="22"/>
        </w:rPr>
      </w:pP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rsidRPr="2030048C" w:rsidP="2030048C">
      <w:pPr>
        <w:pStyle w:val="cHons"/>
        <w:spacing w:before="0" w:after="12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rsidRPr="2030048C" w:rsidP="2030048C">
      <w:pPr>
        <w:pStyle w:val="p"/>
        <w:spacing w:before="0" w:after="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Other feedback opportunities are afforded during preparation for summative assessment for example, reviewing draft assignments by peers and/or tutor.</w:t>
      </w:r>
    </w:p>
    <w:p w:rsidRPr="2030048C" w:rsidP="2030048C">
      <w:pPr>
        <w:pStyle w:val="ListContinue3"/>
        <w:spacing w:before="0" w:after="120" w:line="276" w:lineRule="auto"/>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In the </w:t>
      </w:r>
      <w:r w:rsidRPr="2030048C">
        <w:rPr>
          <w:rFonts w:ascii="Arial" w:eastAsia="Arial" w:hAnsi="Arial" w:cs="Arial"/>
          <w:sz w:val="22"/>
          <w:szCs w:val="22"/>
        </w:rPr>
        <w:t>programme as a whole, the</w:t>
      </w:r>
      <w:r w:rsidRPr="2030048C">
        <w:rPr>
          <w:rFonts w:ascii="Arial" w:eastAsia="Arial" w:hAnsi="Arial" w:cs="Arial"/>
          <w:sz w:val="22"/>
          <w:szCs w:val="22"/>
        </w:rPr>
        <w:t xml:space="preserve"> following components are used in the assessment of the various modules:</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Multiple choice or short answer questions</w:t>
      </w:r>
      <w:r w:rsidRPr="2030048C">
        <w:rPr>
          <w:rFonts w:ascii="Arial" w:eastAsia="Arial" w:hAnsi="Arial" w:cs="Arial"/>
          <w:sz w:val="22"/>
          <w:szCs w:val="22"/>
        </w:rPr>
        <w:t>: to assess competence in basic techniques and understanding of concepts</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Long answered structured questions</w:t>
      </w:r>
      <w:r w:rsidRPr="2030048C">
        <w:rPr>
          <w:rFonts w:ascii="Arial" w:eastAsia="Arial" w:hAnsi="Arial" w:cs="Arial"/>
          <w:sz w:val="22"/>
          <w:szCs w:val="22"/>
        </w:rPr>
        <w:t xml:space="preserve"> in coursework assignments: to assess ability to apply learned techniques to solve simple to medium problems and which may include a limited investigative component</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Long answer structured questions</w:t>
      </w:r>
      <w:r w:rsidRPr="2030048C">
        <w:rPr>
          <w:rFonts w:ascii="Arial" w:eastAsia="Arial" w:hAnsi="Arial" w:cs="Arial"/>
          <w:sz w:val="22"/>
          <w:szCs w:val="22"/>
        </w:rPr>
        <w:t xml:space="preserve"> in end-of-module examinations: to assess overall breadth of knowledge and technical competence to provide concise and accurate solutions within restricted time</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Practical exercises</w:t>
      </w:r>
      <w:r w:rsidRPr="2030048C">
        <w:rPr>
          <w:rFonts w:ascii="Arial" w:eastAsia="Arial" w:hAnsi="Arial" w:cs="Arial"/>
          <w:sz w:val="22"/>
          <w:szCs w:val="22"/>
        </w:rPr>
        <w:t>: to assess students’ understanding and technical competence</w:t>
      </w:r>
    </w:p>
    <w:p w:rsidRPr="2030048C" w:rsidP="2030048C">
      <w:pPr>
        <w:pStyle w:val="p"/>
        <w:spacing w:before="0" w:after="0" w:line="276" w:lineRule="auto"/>
        <w:ind w:left="578" w:right="0" w:hanging="578"/>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Group-based case studies</w:t>
      </w:r>
      <w:r w:rsidRPr="2030048C">
        <w:rPr>
          <w:rFonts w:ascii="Arial" w:eastAsia="Arial" w:hAnsi="Arial" w:cs="Arial"/>
          <w:sz w:val="22"/>
          <w:szCs w:val="22"/>
        </w:rPr>
        <w:t>: to assess ability to understand requirements, to provide solutions to realistic problems and to interact and work effectively with others as a contributing member of a team. The outcomes can be:</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Written report</w:t>
      </w:r>
      <w:r w:rsidRPr="2030048C">
        <w:rPr>
          <w:rFonts w:ascii="Arial" w:eastAsia="Arial" w:hAnsi="Arial" w:cs="Arial"/>
          <w:sz w:val="22"/>
          <w:szCs w:val="22"/>
        </w:rPr>
        <w:t xml:space="preserve">, where the ability to communicate the relevant concepts, methods, </w:t>
      </w:r>
      <w:r w:rsidRPr="2030048C">
        <w:rPr>
          <w:rFonts w:ascii="Arial" w:eastAsia="Arial" w:hAnsi="Arial" w:cs="Arial"/>
          <w:sz w:val="22"/>
          <w:szCs w:val="22"/>
        </w:rPr>
        <w:t>results</w:t>
      </w:r>
      <w:r w:rsidRPr="2030048C">
        <w:rPr>
          <w:rFonts w:ascii="Arial" w:eastAsia="Arial" w:hAnsi="Arial" w:cs="Arial"/>
          <w:sz w:val="22"/>
          <w:szCs w:val="22"/>
        </w:rPr>
        <w:t xml:space="preserve"> and conclusions effectively will be assessed.</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Oral presentation</w:t>
      </w:r>
      <w:r w:rsidRPr="2030048C">
        <w:rPr>
          <w:rFonts w:ascii="Arial" w:eastAsia="Arial" w:hAnsi="Arial" w:cs="Arial"/>
          <w:sz w:val="22"/>
          <w:szCs w:val="22"/>
        </w:rPr>
        <w:t xml:space="preserve">, where the ability to summarise accurately and </w:t>
      </w:r>
      <w:r w:rsidRPr="2030048C">
        <w:rPr>
          <w:rFonts w:ascii="Arial" w:eastAsia="Arial" w:hAnsi="Arial" w:cs="Arial"/>
          <w:sz w:val="22"/>
          <w:szCs w:val="22"/>
        </w:rPr>
        <w:t>communicate clearly</w:t>
      </w:r>
      <w:r w:rsidRPr="2030048C">
        <w:rPr>
          <w:rFonts w:ascii="Arial" w:eastAsia="Arial" w:hAnsi="Arial" w:cs="Arial"/>
          <w:sz w:val="22"/>
          <w:szCs w:val="22"/>
        </w:rPr>
        <w:t xml:space="preserve"> the key points from the work in a brief presentation will be assessed.</w:t>
      </w:r>
    </w:p>
    <w:p w:rsidRPr="2030048C" w:rsidP="2030048C">
      <w:pPr>
        <w:pStyle w:val="p"/>
        <w:spacing w:before="0" w:after="0" w:line="276" w:lineRule="auto"/>
        <w:ind w:left="1134" w:right="0" w:hanging="436"/>
        <w:jc w:val="both"/>
        <w:rPr>
          <w:rFonts w:ascii="Times New Roman" w:eastAsia="Times New Roman" w:hAnsi="Times New Roman" w:cs="Times New Roman"/>
          <w:sz w:val="22"/>
          <w:szCs w:val="22"/>
        </w:rPr>
      </w:pPr>
      <w:r w:rsidRPr="2030048C">
        <w:rPr>
          <w:rFonts w:ascii="Arial" w:eastAsia="Arial" w:hAnsi="Arial" w:cs="Arial"/>
          <w:sz w:val="22"/>
          <w:szCs w:val="22"/>
        </w:rPr>
        <w:t>-</w:t>
      </w:r>
      <w:r w:rsidRPr="2030048C">
        <w:rPr>
          <w:rFonts w:ascii="Times New Roman" w:eastAsia="Times New Roman" w:hAnsi="Times New Roman" w:cs="Times New Roman"/>
          <w:sz w:val="22"/>
          <w:szCs w:val="22"/>
        </w:rPr>
        <w:tab/>
      </w:r>
      <w:r w:rsidRPr="2030048C">
        <w:rPr>
          <w:rFonts w:ascii="Arial" w:eastAsia="Arial" w:hAnsi="Arial" w:cs="Arial"/>
          <w:b/>
          <w:bCs/>
          <w:sz w:val="22"/>
          <w:szCs w:val="22"/>
        </w:rPr>
        <w:t>Poster presentation</w:t>
      </w:r>
      <w:r w:rsidRPr="2030048C">
        <w:rPr>
          <w:rFonts w:ascii="Arial" w:eastAsia="Arial" w:hAnsi="Arial" w:cs="Arial"/>
          <w:sz w:val="22"/>
          <w:szCs w:val="22"/>
        </w:rPr>
        <w:t xml:space="preserve"> where information and results must be succinct and eye-catching.</w:t>
      </w: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Key skills developed throughout the course form an integral part of an assessment. </w:t>
      </w:r>
    </w:p>
    <w:p w:rsidRPr="2030048C" w:rsidP="2030048C">
      <w:pPr>
        <w:pStyle w:val="cHons"/>
        <w:spacing w:before="0" w:after="0" w:line="276" w:lineRule="auto"/>
        <w:ind w:left="0" w:right="0"/>
        <w:jc w:val="both"/>
        <w:rPr>
          <w:rFonts w:ascii="Arial" w:eastAsia="Arial" w:hAnsi="Arial" w:cs="Arial"/>
          <w:b w:val="0"/>
          <w:bCs w:val="0"/>
          <w:sz w:val="22"/>
          <w:szCs w:val="22"/>
        </w:rPr>
      </w:pP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 xml:space="preserve">Students are supported in this by their module leaders as well as their course leader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rsidRPr="2030048C" w:rsidP="2030048C">
      <w:pPr>
        <w:pStyle w:val="cHons"/>
        <w:spacing w:before="0" w:after="0" w:line="276" w:lineRule="auto"/>
        <w:ind w:left="0" w:right="0"/>
        <w:jc w:val="both"/>
        <w:rPr>
          <w:rFonts w:ascii="Arial" w:eastAsia="Arial" w:hAnsi="Arial" w:cs="Arial"/>
          <w:b w:val="0"/>
          <w:bCs w:val="0"/>
          <w:sz w:val="22"/>
          <w:szCs w:val="22"/>
        </w:rPr>
      </w:pPr>
    </w:p>
    <w:p w:rsidRPr="2030048C" w:rsidP="2030048C">
      <w:pPr>
        <w:pStyle w:val="p"/>
        <w:spacing w:before="0" w:after="120" w:line="276" w:lineRule="auto"/>
        <w:ind w:left="0" w:right="0"/>
        <w:rPr>
          <w:rFonts w:ascii="Times New Roman" w:eastAsia="Times New Roman" w:hAnsi="Times New Roman" w:cs="Times New Roman"/>
          <w:sz w:val="22"/>
          <w:szCs w:val="22"/>
        </w:rPr>
      </w:pPr>
      <w:r w:rsidRPr="2030048C">
        <w:rPr>
          <w:rFonts w:ascii="Arial" w:eastAsia="Arial" w:hAnsi="Arial" w:cs="Arial"/>
          <w:b/>
          <w:bCs/>
          <w:sz w:val="22"/>
          <w:szCs w:val="22"/>
        </w:rPr>
        <w:t>Research Informed Teaching</w:t>
      </w:r>
    </w:p>
    <w:p w:rsidRPr="2030048C" w:rsidP="2030048C">
      <w:pPr>
        <w:pStyle w:val="PlainText"/>
        <w:spacing w:before="0" w:after="120" w:line="276" w:lineRule="auto"/>
        <w:ind w:left="0" w:right="0"/>
        <w:rPr>
          <w:rFonts w:ascii="Courier New" w:eastAsia="Courier New" w:hAnsi="Courier New" w:cs="Courier New"/>
          <w:sz w:val="22"/>
          <w:szCs w:val="22"/>
        </w:rPr>
      </w:pPr>
      <w:r w:rsidRPr="2030048C">
        <w:rPr>
          <w:rFonts w:ascii="Arial" w:eastAsia="Arial" w:hAnsi="Arial" w:cs="Arial"/>
          <w:sz w:val="22"/>
          <w:szCs w:val="22"/>
        </w:rPr>
        <w:t xml:space="preserve">The course team is research active within the Digital Information Research Centre (DIRC), which is dedicated to the advancement of the theory and applicability of computer science to enable </w:t>
      </w:r>
      <w:r w:rsidRPr="2030048C">
        <w:rPr>
          <w:rFonts w:ascii="Arial" w:eastAsia="Arial" w:hAnsi="Arial" w:cs="Arial"/>
          <w:sz w:val="22"/>
          <w:szCs w:val="22"/>
        </w:rPr>
        <w:t>internationally-leading</w:t>
      </w:r>
      <w:r w:rsidRPr="2030048C">
        <w:rPr>
          <w:rFonts w:ascii="Arial" w:eastAsia="Arial" w:hAnsi="Arial" w:cs="Arial"/>
          <w:sz w:val="22"/>
          <w:szCs w:val="22"/>
        </w:rPr>
        <w:t xml:space="preserve"> work in the field of informatics, addressing the needs of society in the thematic areas of health, communications, security and data. The centre provides an inclusive and outward looking environment for research development, fostering </w:t>
      </w:r>
      <w:r w:rsidRPr="2030048C">
        <w:rPr>
          <w:rFonts w:ascii="Arial" w:eastAsia="Arial" w:hAnsi="Arial" w:cs="Arial"/>
          <w:sz w:val="22"/>
          <w:szCs w:val="22"/>
        </w:rPr>
        <w:t>interdisciplinary and multidisciplinary research to achieve maximum impact in real-world applications.</w:t>
      </w:r>
    </w:p>
    <w:p w:rsidRPr="2030048C" w:rsidP="2030048C">
      <w:pPr>
        <w:pStyle w:val="PlainText"/>
        <w:spacing w:before="0" w:after="120" w:line="276" w:lineRule="auto"/>
        <w:ind w:left="0" w:right="0"/>
        <w:rPr>
          <w:rFonts w:ascii="Courier New" w:eastAsia="Courier New" w:hAnsi="Courier New" w:cs="Courier New"/>
          <w:sz w:val="22"/>
          <w:szCs w:val="22"/>
        </w:rPr>
      </w:pPr>
      <w:r w:rsidRPr="2030048C">
        <w:rPr>
          <w:rFonts w:ascii="Arial" w:eastAsia="Arial" w:hAnsi="Arial" w:cs="Arial"/>
          <w:sz w:val="22"/>
          <w:szCs w:val="22"/>
        </w:rPr>
        <w:t>The following areas are examples of research informed teaching in our courses:</w:t>
      </w:r>
    </w:p>
    <w:p w:rsidRPr="2030048C" w:rsidP="2030048C">
      <w:pPr>
        <w:pStyle w:val="ListParagraph00"/>
        <w:numPr>
          <w:ilvl w:val="0"/>
          <w:numId w:val="27"/>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w:t>
      </w:r>
      <w:r w:rsidRPr="2030048C">
        <w:rPr>
          <w:rFonts w:ascii="Arial" w:eastAsia="Arial" w:hAnsi="Arial" w:cs="Arial"/>
          <w:sz w:val="22"/>
          <w:szCs w:val="22"/>
        </w:rPr>
        <w:t>School</w:t>
      </w:r>
      <w:r w:rsidRPr="2030048C">
        <w:rPr>
          <w:rFonts w:ascii="Arial" w:eastAsia="Arial" w:hAnsi="Arial" w:cs="Arial"/>
          <w:sz w:val="22"/>
          <w:szCs w:val="22"/>
        </w:rPr>
        <w:t xml:space="preserve"> has internationally recognised research groups that feed into and support student learning through its teaching programme.</w:t>
      </w:r>
    </w:p>
    <w:p w:rsidRPr="2030048C" w:rsidP="2030048C">
      <w:pPr>
        <w:pStyle w:val="ListParagraph00"/>
        <w:spacing w:before="0" w:after="0" w:line="276" w:lineRule="auto"/>
        <w:ind w:left="720" w:right="0"/>
        <w:rPr>
          <w:rFonts w:ascii="Arial" w:eastAsia="Arial" w:hAnsi="Arial" w:cs="Arial"/>
          <w:sz w:val="22"/>
          <w:szCs w:val="22"/>
        </w:rPr>
      </w:pPr>
    </w:p>
    <w:p w:rsidRPr="2030048C" w:rsidP="2030048C">
      <w:pPr>
        <w:pStyle w:val="li0"/>
        <w:numPr>
          <w:ilvl w:val="0"/>
          <w:numId w:val="28"/>
        </w:numPr>
        <w:pBdr>
          <w:left w:val="none" w:sz="0" w:space="7" w:color="auto"/>
        </w:pBdr>
        <w:spacing w:before="0" w:after="12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computer vision activity within the centre has internationally recognised expertise in visual surveillance, medical </w:t>
      </w:r>
      <w:r w:rsidRPr="2030048C">
        <w:rPr>
          <w:rFonts w:ascii="Arial" w:eastAsia="Arial" w:hAnsi="Arial" w:cs="Arial"/>
          <w:sz w:val="22"/>
          <w:szCs w:val="22"/>
        </w:rPr>
        <w:t>imaging</w:t>
      </w:r>
      <w:r w:rsidRPr="2030048C">
        <w:rPr>
          <w:rFonts w:ascii="Arial" w:eastAsia="Arial" w:hAnsi="Arial" w:cs="Arial"/>
          <w:sz w:val="22"/>
          <w:szCs w:val="22"/>
        </w:rPr>
        <w:t xml:space="preserve"> and intelligent environments.</w:t>
      </w:r>
      <w:r w:rsidRPr="2030048C">
        <w:rPr>
          <w:rFonts w:ascii="Arial" w:eastAsia="Arial" w:hAnsi="Arial" w:cs="Arial"/>
          <w:sz w:val="22"/>
          <w:szCs w:val="22"/>
        </w:rPr>
        <w:t xml:space="preserve">  </w:t>
      </w:r>
      <w:r w:rsidRPr="2030048C">
        <w:rPr>
          <w:rFonts w:ascii="Arial" w:eastAsia="Arial" w:hAnsi="Arial" w:cs="Arial"/>
          <w:sz w:val="22"/>
          <w:szCs w:val="22"/>
        </w:rPr>
        <w:t xml:space="preserve">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w:t>
      </w:r>
      <w:r w:rsidRPr="2030048C">
        <w:rPr>
          <w:rFonts w:ascii="Arial" w:eastAsia="Arial" w:hAnsi="Arial" w:cs="Arial"/>
          <w:sz w:val="22"/>
          <w:szCs w:val="22"/>
        </w:rPr>
        <w:t>Thus</w:t>
      </w:r>
      <w:r w:rsidRPr="2030048C">
        <w:rPr>
          <w:rFonts w:ascii="Arial" w:eastAsia="Arial" w:hAnsi="Arial" w:cs="Arial"/>
          <w:sz w:val="22"/>
          <w:szCs w:val="22"/>
        </w:rPr>
        <w:t xml:space="preserve"> there is good linkage between research and teaching and the teaching team for computer science draws from DIRC members.</w:t>
      </w:r>
    </w:p>
    <w:p w:rsidRPr="2030048C" w:rsidP="2030048C">
      <w:pPr>
        <w:pStyle w:val="li0"/>
        <w:numPr>
          <w:ilvl w:val="0"/>
          <w:numId w:val="29"/>
        </w:numPr>
        <w:pBdr>
          <w:left w:val="none" w:sz="0" w:space="7" w:color="auto"/>
        </w:pBdr>
        <w:spacing w:before="0" w:after="120" w:line="276" w:lineRule="auto"/>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r w:rsidRPr="2030048C">
        <w:rPr>
          <w:rFonts w:ascii="Arial" w:eastAsia="Arial" w:hAnsi="Arial" w:cs="Arial"/>
          <w:sz w:val="22"/>
          <w:szCs w:val="22"/>
        </w:rPr>
        <w:t>networking</w:t>
      </w:r>
      <w:r w:rsidRPr="2030048C">
        <w:rPr>
          <w:rFonts w:ascii="Arial" w:eastAsia="Arial" w:hAnsi="Arial" w:cs="Arial"/>
          <w:sz w:val="22"/>
          <w:szCs w:val="22"/>
        </w:rPr>
        <w:t xml:space="preserve"> and security. </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rsidRPr="2030048C" w:rsidP="2030048C">
      <w:pPr>
        <w:pStyle w:val="p"/>
        <w:spacing w:before="0" w:after="0" w:line="276" w:lineRule="auto"/>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Staff also engage with research into teaching and learning in Higher Education which feeds through to support learning in lectures and other forms of student engagement during contact time. </w:t>
      </w:r>
    </w:p>
    <w:p w:rsidRPr="2030048C" w:rsidP="2030048C">
      <w:pPr>
        <w:pStyle w:val="p"/>
        <w:spacing w:before="0" w:after="0" w:line="276" w:lineRule="auto"/>
        <w:ind w:left="0" w:right="0"/>
        <w:rPr>
          <w:rFonts w:ascii="Arial" w:eastAsia="Arial" w:hAnsi="Arial" w:cs="Arial"/>
          <w:sz w:val="22"/>
          <w:szCs w:val="22"/>
        </w:rPr>
      </w:pPr>
    </w:p>
    <w:p w:rsidRPr="2030048C" w:rsidP="2030048C">
      <w:pPr>
        <w:pStyle w:val="cHons"/>
        <w:spacing w:before="0" w:after="0" w:line="276" w:lineRule="auto"/>
        <w:ind w:left="0" w:right="0"/>
        <w:jc w:val="both"/>
        <w:rPr>
          <w:rFonts w:ascii="Times New Roman" w:eastAsia="Times New Roman" w:hAnsi="Times New Roman" w:cs="Times New Roman"/>
          <w:b/>
          <w:bCs/>
          <w:sz w:val="22"/>
          <w:szCs w:val="22"/>
        </w:rPr>
      </w:pPr>
      <w:r w:rsidRPr="2030048C">
        <w:rPr>
          <w:rFonts w:ascii="Arial" w:eastAsia="Arial" w:hAnsi="Arial" w:cs="Arial"/>
          <w:b w:val="0"/>
          <w:bCs w:val="0"/>
          <w:sz w:val="22"/>
          <w:szCs w:val="22"/>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rsidRPr="2030048C" w:rsidP="2030048C">
      <w:pPr>
        <w:pStyle w:val="cHons"/>
        <w:spacing w:before="0" w:after="0" w:line="276" w:lineRule="auto"/>
        <w:ind w:left="720" w:right="0" w:hanging="283"/>
        <w:jc w:val="both"/>
        <w:rPr>
          <w:rFonts w:ascii="Arial" w:eastAsia="Arial" w:hAnsi="Arial" w:cs="Arial"/>
          <w:b w:val="0"/>
          <w:bCs w:val="0"/>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Personal Tutor System</w:t>
      </w:r>
      <w:r w:rsidRPr="2030048C">
        <w:rPr>
          <w:rFonts w:ascii="Arial" w:eastAsia="Arial" w:hAnsi="Arial" w:cs="Arial"/>
          <w:sz w:val="24"/>
          <w:szCs w:val="24"/>
        </w:rPr>
        <w:br/>
      </w:r>
      <w:r w:rsidRPr="2030048C">
        <w:rPr>
          <w:rFonts w:ascii="Arial" w:eastAsia="Arial" w:hAnsi="Arial" w:cs="Arial"/>
          <w:b/>
          <w:bCs/>
          <w:sz w:val="24"/>
          <w:szCs w:val="24"/>
        </w:rPr>
        <w:t xml:space="preserve">A Personal Tutoring Scheme is established across the </w:t>
      </w:r>
      <w:r w:rsidRPr="2030048C">
        <w:rPr>
          <w:rFonts w:ascii="Arial" w:eastAsia="Arial" w:hAnsi="Arial" w:cs="Arial"/>
          <w:b/>
          <w:bCs/>
          <w:sz w:val="24"/>
          <w:szCs w:val="24"/>
        </w:rPr>
        <w:t>Faculty</w:t>
      </w:r>
      <w:r w:rsidRPr="2030048C">
        <w:rPr>
          <w:rFonts w:ascii="Arial" w:eastAsia="Arial" w:hAnsi="Arial" w:cs="Arial"/>
          <w:b/>
          <w:bCs/>
          <w:sz w:val="24"/>
          <w:szCs w:val="24"/>
        </w:rPr>
        <w:t xml:space="preserve"> to help </w:t>
      </w:r>
      <w:r w:rsidRPr="2030048C">
        <w:rPr>
          <w:rFonts w:ascii="Arial" w:eastAsia="Arial" w:hAnsi="Arial" w:cs="Arial"/>
          <w:sz w:val="22"/>
          <w:szCs w:val="22"/>
        </w:rPr>
        <w:t xml:space="preserve">Master’s students realise their potential and to advise on the matters such as career development and employability. A personal tutor is assigned to each </w:t>
      </w:r>
      <w:r w:rsidRPr="2030048C">
        <w:rPr>
          <w:rFonts w:ascii="Arial" w:eastAsia="Arial" w:hAnsi="Arial" w:cs="Arial"/>
          <w:sz w:val="22"/>
          <w:szCs w:val="22"/>
        </w:rPr>
        <w:t>Master’s</w:t>
      </w:r>
      <w:r w:rsidRPr="2030048C">
        <w:rPr>
          <w:rFonts w:ascii="Arial" w:eastAsia="Arial" w:hAnsi="Arial" w:cs="Arial"/>
          <w:sz w:val="22"/>
          <w:szCs w:val="22"/>
        </w:rPr>
        <w:t xml:space="preserve"> student and is a member of the teaching team on their course. The first contact between student and the Personal Tutor is </w:t>
      </w:r>
      <w:r w:rsidRPr="2030048C">
        <w:rPr>
          <w:rFonts w:ascii="Arial" w:eastAsia="Arial" w:hAnsi="Arial" w:cs="Arial"/>
          <w:sz w:val="22"/>
          <w:szCs w:val="22"/>
        </w:rPr>
        <w:t>during Induction Week for an introductory meeting and thereafter a scheduled set of meetings is set up to ensure the continuity of the student progress and the appropriate personal development throughout the course. The minimum of three meetings per academic year is a norm.</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b/>
          <w:bCs/>
          <w:sz w:val="24"/>
          <w:szCs w:val="24"/>
        </w:rPr>
        <w:t xml:space="preserve">Level </w:t>
      </w:r>
      <w:r w:rsidRPr="2030048C">
        <w:rPr>
          <w:rFonts w:ascii="Arial" w:eastAsia="Arial" w:hAnsi="Arial" w:cs="Arial"/>
          <w:b/>
          <w:bCs/>
          <w:sz w:val="24"/>
          <w:szCs w:val="24"/>
        </w:rPr>
        <w:t>7 :</w:t>
      </w:r>
      <w:r w:rsidRPr="2030048C">
        <w:rPr>
          <w:rFonts w:ascii="Arial" w:eastAsia="Arial" w:hAnsi="Arial" w:cs="Arial"/>
          <w:b/>
          <w:bCs/>
          <w:sz w:val="24"/>
          <w:szCs w:val="24"/>
        </w:rPr>
        <w:t xml:space="preserve"> Getting the most out of the Masters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To help students to make the transition to </w:t>
      </w:r>
      <w:r w:rsidRPr="2030048C">
        <w:rPr>
          <w:rFonts w:ascii="Arial" w:eastAsia="Arial" w:hAnsi="Arial" w:cs="Arial"/>
          <w:sz w:val="24"/>
          <w:szCs w:val="24"/>
        </w:rPr>
        <w:t>Master’s</w:t>
      </w:r>
      <w:r w:rsidRPr="2030048C">
        <w:rPr>
          <w:rFonts w:ascii="Arial" w:eastAsia="Arial" w:hAnsi="Arial" w:cs="Arial"/>
          <w:sz w:val="24"/>
          <w:szCs w:val="24"/>
        </w:rPr>
        <w:t xml:space="preserve"> level study and understand how to</w:t>
      </w:r>
      <w:r w:rsidRPr="2030048C">
        <w:rPr>
          <w:rFonts w:ascii="Arial" w:eastAsia="Arial" w:hAnsi="Arial" w:cs="Arial"/>
          <w:sz w:val="24"/>
          <w:szCs w:val="24"/>
        </w:rPr>
        <w:br/>
      </w:r>
      <w:r w:rsidRPr="2030048C">
        <w:rPr>
          <w:rFonts w:ascii="Arial" w:eastAsia="Arial" w:hAnsi="Arial" w:cs="Arial"/>
          <w:sz w:val="24"/>
          <w:szCs w:val="24"/>
        </w:rPr>
        <w:t>use feedback on the postgraduate course</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encourage students to be proactive in making links between their course and their</w:t>
      </w:r>
      <w:r w:rsidRPr="2030048C">
        <w:rPr>
          <w:rFonts w:ascii="Arial" w:eastAsia="Arial" w:hAnsi="Arial" w:cs="Arial"/>
          <w:sz w:val="24"/>
          <w:szCs w:val="24"/>
        </w:rPr>
        <w:br/>
      </w:r>
      <w:r w:rsidRPr="2030048C">
        <w:rPr>
          <w:rFonts w:ascii="Arial" w:eastAsia="Arial" w:hAnsi="Arial" w:cs="Arial"/>
          <w:sz w:val="24"/>
          <w:szCs w:val="24"/>
        </w:rPr>
        <w:t>professional and/or academic aspirations</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explore students’ research aspirations</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help students gain confidence in contributing to, and learning from, constructive</w:t>
      </w:r>
      <w:r w:rsidRPr="2030048C">
        <w:rPr>
          <w:rFonts w:ascii="Arial" w:eastAsia="Arial" w:hAnsi="Arial" w:cs="Arial"/>
          <w:sz w:val="24"/>
          <w:szCs w:val="24"/>
        </w:rPr>
        <w:br/>
      </w:r>
      <w:r w:rsidRPr="2030048C">
        <w:rPr>
          <w:rFonts w:ascii="Arial" w:eastAsia="Arial" w:hAnsi="Arial" w:cs="Arial"/>
          <w:sz w:val="24"/>
          <w:szCs w:val="24"/>
        </w:rPr>
        <w:t>peer review</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encourage students to become part of a wider disciplinary and/or professional</w:t>
      </w:r>
      <w:r w:rsidRPr="2030048C">
        <w:rPr>
          <w:rFonts w:ascii="Arial" w:eastAsia="Arial" w:hAnsi="Arial" w:cs="Arial"/>
          <w:sz w:val="24"/>
          <w:szCs w:val="24"/>
        </w:rPr>
        <w:br/>
      </w:r>
      <w:r w:rsidRPr="2030048C">
        <w:rPr>
          <w:rFonts w:ascii="Arial" w:eastAsia="Arial" w:hAnsi="Arial" w:cs="Arial"/>
          <w:sz w:val="24"/>
          <w:szCs w:val="24"/>
        </w:rPr>
        <w:t>community</w:t>
      </w:r>
    </w:p>
    <w:p w:rsidRPr="2030048C" w:rsidP="2030048C">
      <w:pPr>
        <w:numPr>
          <w:ilvl w:val="0"/>
          <w:numId w:val="30"/>
        </w:numPr>
        <w:ind w:left="720" w:right="0" w:hanging="360"/>
        <w:jc w:val="left"/>
        <w:rPr>
          <w:rFonts w:ascii="Arial" w:eastAsia="Arial" w:hAnsi="Arial" w:cs="Arial"/>
          <w:sz w:val="24"/>
          <w:szCs w:val="24"/>
        </w:rPr>
      </w:pPr>
      <w:r w:rsidRPr="2030048C">
        <w:rPr>
          <w:rFonts w:ascii="Arial" w:eastAsia="Arial" w:hAnsi="Arial" w:cs="Arial"/>
          <w:sz w:val="24"/>
          <w:szCs w:val="24"/>
        </w:rPr>
        <w:t>To help students to prepare for the dynamics of supervision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Throughout the Faculty of SEC there is a system of ‘Office Hours’ for general student enquiries to academic staff. Office hours are times at which academic staff will normally be available to speak to students in their office and are usually advertised on staff office doors. In the event of a member of staff being unavailable to deal with an urgent matter, an appointment can be made by sending an e-mail to the staff member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3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CI7701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o"/>
      <w:lvlJc w:val="left"/>
      <w:pPr>
        <w:ind w:left="720" w:hanging="360"/>
      </w:pPr>
      <w:rPr>
        <w:rFonts w:ascii="Courier New" w:hAnsi="Courier New"/>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
    <w:name w:val="cell"/>
    <w:basedOn w:val="ListParagraph"/>
    <w:rPr>
      <w:sz w:val="24"/>
      <w:szCs w:val="24"/>
    </w:rPr>
  </w:style>
  <w:style w:type="paragraph" w:customStyle="1" w:styleId="p0">
    <w:name w:val="p_0"/>
    <w:basedOn w:val="ListParagraph"/>
  </w:style>
  <w:style w:type="paragraph" w:customStyle="1" w:styleId="li">
    <w:name w:val="li"/>
    <w:basedOn w:val="ListParagraph"/>
  </w:style>
  <w:style w:type="paragraph" w:customStyle="1" w:styleId="BodyText2">
    <w:name w:val="BodyText2"/>
    <w:basedOn w:val="ListParagraph"/>
    <w:pPr>
      <w:spacing w:line="480" w:lineRule="auto"/>
    </w:pPr>
    <w:rPr>
      <w:rFonts w:ascii="Calibri" w:eastAsia="Calibri" w:hAnsi="Calibri" w:cs="Calibri"/>
      <w:sz w:val="24"/>
      <w:szCs w:val="24"/>
    </w:rPr>
  </w:style>
  <w:style w:type="paragraph" w:customStyle="1" w:styleId="ListParagraph0">
    <w:name w:val="ListParagraph"/>
    <w:basedOn w:val="ListParagraph"/>
    <w:rPr>
      <w:rFonts w:ascii="Calibri" w:eastAsia="Calibri" w:hAnsi="Calibri" w:cs="Calibri"/>
      <w:sz w:val="22"/>
      <w:szCs w:val="22"/>
    </w:rPr>
  </w:style>
  <w:style w:type="paragraph" w:customStyle="1" w:styleId="Body">
    <w:name w:val="Body"/>
    <w:basedOn w:val="Normal"/>
    <w:rPr>
      <w:sz w:val="24"/>
      <w:szCs w:val="24"/>
    </w:rPr>
  </w:style>
  <w:style w:type="paragraph" w:customStyle="1" w:styleId="li0">
    <w:name w:val="li_0"/>
    <w:basedOn w:val="Normal"/>
  </w:style>
  <w:style w:type="paragraph" w:customStyle="1" w:styleId="cHons">
    <w:name w:val="cHons"/>
    <w:basedOn w:val="Normal"/>
    <w:rPr>
      <w:b/>
      <w:bCs/>
      <w:sz w:val="24"/>
      <w:szCs w:val="24"/>
    </w:rPr>
  </w:style>
  <w:style w:type="paragraph" w:customStyle="1" w:styleId="BodyText20">
    <w:name w:val="BodyText2_0"/>
    <w:basedOn w:val="Normal"/>
    <w:pPr>
      <w:spacing w:line="480" w:lineRule="auto"/>
    </w:pPr>
    <w:rPr>
      <w:rFonts w:ascii="Calibri" w:eastAsia="Calibri" w:hAnsi="Calibri" w:cs="Calibri"/>
      <w:sz w:val="24"/>
      <w:szCs w:val="24"/>
    </w:rPr>
  </w:style>
  <w:style w:type="paragraph" w:customStyle="1" w:styleId="Pa3">
    <w:name w:val="Pa3"/>
    <w:basedOn w:val="Normal"/>
    <w:pPr>
      <w:spacing w:line="221" w:lineRule="atLeast"/>
    </w:pPr>
    <w:rPr>
      <w:rFonts w:ascii="StoneSans" w:eastAsia="StoneSans" w:hAnsi="StoneSans" w:cs="StoneSans"/>
      <w:sz w:val="24"/>
      <w:szCs w:val="24"/>
    </w:rPr>
  </w:style>
  <w:style w:type="paragraph" w:customStyle="1" w:styleId="ListContinue3">
    <w:name w:val="ListContinue3"/>
    <w:basedOn w:val="Normal"/>
    <w:pPr>
      <w:spacing w:line="220" w:lineRule="atLeast"/>
    </w:pPr>
    <w:rPr>
      <w:sz w:val="20"/>
      <w:szCs w:val="20"/>
    </w:rPr>
  </w:style>
  <w:style w:type="paragraph" w:customStyle="1" w:styleId="PlainText">
    <w:name w:val="PlainText"/>
    <w:basedOn w:val="Normal"/>
    <w:rPr>
      <w:rFonts w:ascii="Courier New" w:eastAsia="Courier New" w:hAnsi="Courier New" w:cs="Courier New"/>
      <w:sz w:val="20"/>
      <w:szCs w:val="20"/>
    </w:rPr>
  </w:style>
  <w:style w:type="paragraph" w:customStyle="1" w:styleId="ListParagraph00">
    <w:name w:val="ListParagraph_0"/>
    <w:basedOn w:val="Normal"/>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7273682-CCF7-42D7-BEF6-5463FFF3679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