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Technology (Maritime Operations)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01/03/2012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01/11/2016</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01/01/2021</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4</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Engineering, Computing and the Environment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Engineering</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Aerospace and Aircraft Engineering</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N/A</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Technology (Maritime Operations)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 Cert / PG Dip  - RN variant</w:t>
            </w:r>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This workbased learning MSc is a supervised, self-directed award and is conducted off Campus.</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Normally candidates will have successfully completed the one-year PWO course (above water) or the </w:t>
            </w:r>
            <w:r>
              <w:rPr>
                <w:rStyle w:val="normaltextrun"/>
                <w:rFonts w:ascii="Arial" w:eastAsia="Arial" w:hAnsi="Arial" w:cs="Arial"/>
                <w:color w:val="000000"/>
                <w:sz w:val="22"/>
                <w:szCs w:val="22"/>
                <w:shd w:val="clear" w:color="auto" w:fill="FFFFFF"/>
              </w:rPr>
              <w:t>equivalent Warfare Officer courses for submariners.</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The programme is not accredited</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None</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None</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R="00A92C9B" w:rsidRPr="00BF1022" w:rsidP="4CF8E037" w14:paraId="1F6642E3"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i/>
          <w:iCs/>
          <w:color w:val="000000" w:themeColor="text1"/>
          <w:shd w:val="clear" w:color="auto" w:fill="FFFFFF"/>
        </w:rPr>
        <w:t> </w:t>
      </w:r>
      <w:r w:rsidRPr="007C4290">
        <w:rPr>
          <w:rStyle w:val="normaltextrun"/>
          <w:rFonts w:ascii="Arial" w:hAnsi="Arial" w:cs="Arial"/>
          <w:color w:val="000000" w:themeColor="text1"/>
          <w:shd w:val="clear" w:color="auto" w:fill="FFFFFF"/>
        </w:rPr>
        <w:t xml:space="preserve">The main purpose of this course is to offer students, all of whom who are or have already been practising naval officers, a negotiated and personalised programme of study which develops them further towards their full potential as safe, competent, ethical, confident, research-minded and reflective practitioners. </w:t>
      </w:r>
    </w:p>
    <w:p w:rsidRPr="007C4290" w:rsidP="00A92C9B">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r w:rsidRPr="007C4290">
        <w:rPr>
          <w:rStyle w:val="normaltextrun"/>
          <w:rFonts w:ascii="Arial" w:hAnsi="Arial" w:cs="Arial"/>
          <w:color w:val="000000" w:themeColor="text1"/>
          <w:shd w:val="clear" w:color="auto" w:fill="FFFFFF"/>
        </w:rPr>
        <w:t>• </w:t>
      </w:r>
      <w:r w:rsidRPr="007C4290">
        <w:rPr>
          <w:rStyle w:val="normaltextrun"/>
          <w:rFonts w:ascii="Arial" w:hAnsi="Arial" w:cs="Arial"/>
          <w:color w:val="000000" w:themeColor="text1"/>
          <w:shd w:val="clear" w:color="auto" w:fill="FFFFFF"/>
        </w:rPr>
        <w:t>To enhance students’ abilities in independent study, research, critical thinking and reflective practice, reinforcing an ethos of life-long learning and continuing professional development</w:t>
      </w:r>
      <w:r w:rsidRPr="007C4290">
        <w:rPr>
          <w:rStyle w:val="normaltextrun"/>
          <w:rFonts w:ascii="Arial" w:hAnsi="Arial" w:cs="Arial"/>
          <w:color w:val="000000" w:themeColor="text1"/>
          <w:shd w:val="clear" w:color="auto" w:fill="FFFFFF"/>
        </w:rPr>
        <w:t>.</w:t>
      </w:r>
    </w:p>
    <w:p w:rsidRPr="007C4290" w:rsidP="00A92C9B">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r w:rsidRPr="007C4290">
        <w:rPr>
          <w:rStyle w:val="normaltextrun"/>
          <w:rFonts w:ascii="Arial" w:hAnsi="Arial" w:cs="Arial"/>
          <w:color w:val="000000" w:themeColor="text1"/>
          <w:shd w:val="clear" w:color="auto" w:fill="FFFFFF"/>
        </w:rPr>
        <w:t>• </w:t>
      </w:r>
      <w:r w:rsidRPr="007C4290">
        <w:rPr>
          <w:rStyle w:val="normaltextrun"/>
          <w:rFonts w:ascii="Arial" w:hAnsi="Arial" w:cs="Arial"/>
          <w:color w:val="000000" w:themeColor="text1"/>
          <w:shd w:val="clear" w:color="auto" w:fill="FFFFFF"/>
        </w:rPr>
        <w:t>Facilitate personal and professional development including the transferable, communications and interpersonal skills necessary for managing and developing further a successful, autonomous and independent practice in the naval environment</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aims of t</w:t>
      </w:r>
      <w:r w:rsidRPr="007C4290">
        <w:rPr>
          <w:rStyle w:val="normaltextrun"/>
          <w:rFonts w:ascii="Arial" w:hAnsi="Arial" w:cs="Arial"/>
          <w:color w:val="000000" w:themeColor="text1"/>
          <w:shd w:val="clear" w:color="auto" w:fill="FFFFFF"/>
        </w:rPr>
        <w:t xml:space="preserve">he Postgraduate Diploma and the Postgraduate Certificate are the same as those for the MSc except that, since the PG Dip and PG Cert students do not normally undertake either the individual project or the academic paper + reflective summary, they will not </w:t>
      </w:r>
      <w:r w:rsidRPr="007C4290">
        <w:rPr>
          <w:rStyle w:val="normaltextrun"/>
          <w:rFonts w:ascii="Arial" w:hAnsi="Arial" w:cs="Arial"/>
          <w:color w:val="000000" w:themeColor="text1"/>
          <w:shd w:val="clear" w:color="auto" w:fill="FFFFFF"/>
        </w:rPr>
        <w:t xml:space="preserve">have the same opportunity to engage in the in-depth research and problem solving techniques which the Dissertation or academic paper suitable for publication requires.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PG Dip and PG Cert are normally given as exit awards when students fail to complete th</w:t>
      </w:r>
      <w:r w:rsidRPr="007C4290">
        <w:rPr>
          <w:rStyle w:val="normaltextrun"/>
          <w:rFonts w:ascii="Arial" w:hAnsi="Arial" w:cs="Arial"/>
          <w:color w:val="000000" w:themeColor="text1"/>
          <w:shd w:val="clear" w:color="auto" w:fill="FFFFFF"/>
        </w:rPr>
        <w:t>e course.</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hd w:val="clear" w:color="auto" w:fill="FFFFFF"/>
        </w:rPr>
        <w:t>NOTE</w:t>
      </w:r>
      <w:r w:rsidRPr="007C4290">
        <w:rPr>
          <w:rStyle w:val="normaltextrun"/>
          <w:rFonts w:ascii="Arial" w:hAnsi="Arial" w:cs="Arial"/>
          <w:color w:val="000000" w:themeColor="text1"/>
          <w:shd w:val="clear" w:color="auto" w:fill="FFFFFF"/>
        </w:rPr>
        <w:t xml:space="preserve">: The vast majority of students enter the award with maximum advanced standing (120 credits) derived from successful completion of either the one-year Principal Warfare Officer courses of the Royal Navy (RN) or Royal </w:t>
      </w:r>
      <w:r w:rsidRPr="007C4290">
        <w:rPr>
          <w:rStyle w:val="normaltextrun"/>
          <w:rFonts w:ascii="Arial" w:hAnsi="Arial" w:cs="Arial"/>
          <w:color w:val="000000" w:themeColor="text1"/>
          <w:shd w:val="clear" w:color="auto" w:fill="FFFFFF"/>
        </w:rPr>
        <w:t>Australian</w:t>
      </w:r>
      <w:r w:rsidRPr="007C4290">
        <w:rPr>
          <w:rStyle w:val="normaltextrun"/>
          <w:rFonts w:ascii="Arial" w:hAnsi="Arial" w:cs="Arial"/>
          <w:color w:val="000000" w:themeColor="text1"/>
          <w:shd w:val="clear" w:color="auto" w:fill="FFFFFF"/>
        </w:rPr>
        <w:t xml:space="preserve"> Navy (RAN) or the equivalent Warfare Officer courses for submariners, with associated evidence. The final 60 credits can only normally be taken by students who have reached operational performance standard.</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Graduates from this course will have the ability to use the range of skills indicated below to solve a substantial range of problems concerning modern military systems, operations, policy, strategy and tactics, some of a complex nature.</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GENERAL LEARNING OUTCOMES</w:t>
      </w:r>
    </w:p>
    <w:p w:rsidRPr="007C4290" w:rsidP="00917A90">
      <w:pPr>
        <w:numPr>
          <w:ilvl w:val="0"/>
          <w:numId w:val="12"/>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ab</w:t>
      </w:r>
      <w:r w:rsidRPr="007C4290">
        <w:rPr>
          <w:rStyle w:val="normaltextrun"/>
          <w:rFonts w:ascii="Arial" w:hAnsi="Arial" w:cs="Arial"/>
          <w:color w:val="000000" w:themeColor="text1"/>
          <w:sz w:val="22"/>
          <w:szCs w:val="22"/>
          <w:shd w:val="clear" w:color="auto" w:fill="FFFFFF"/>
        </w:rPr>
        <w:t xml:space="preserve">ility to develop, monitor and update a plan, to reflect a changing operating environment; </w:t>
      </w:r>
    </w:p>
    <w:p w:rsidRPr="007C4290" w:rsidP="00917A90">
      <w:pPr>
        <w:numPr>
          <w:ilvl w:val="0"/>
          <w:numId w:val="12"/>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The ability to monitor and adjust a personal programme of work on an </w:t>
      </w:r>
      <w:r w:rsidRPr="007C4290">
        <w:rPr>
          <w:rStyle w:val="normaltextrun"/>
          <w:rFonts w:ascii="Arial" w:hAnsi="Arial" w:cs="Arial"/>
          <w:color w:val="000000" w:themeColor="text1"/>
          <w:sz w:val="22"/>
          <w:szCs w:val="22"/>
          <w:shd w:val="clear" w:color="auto" w:fill="FFFFFF"/>
        </w:rPr>
        <w:t xml:space="preserve">on-going basis, and to learn independently; </w:t>
      </w:r>
    </w:p>
    <w:p w:rsidRPr="007C4290" w:rsidP="00917A90">
      <w:pPr>
        <w:numPr>
          <w:ilvl w:val="0"/>
          <w:numId w:val="12"/>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An understanding of different roles within a te</w:t>
      </w:r>
      <w:r w:rsidRPr="007C4290">
        <w:rPr>
          <w:rStyle w:val="normaltextrun"/>
          <w:rFonts w:ascii="Arial" w:hAnsi="Arial" w:cs="Arial"/>
          <w:color w:val="000000" w:themeColor="text1"/>
          <w:sz w:val="22"/>
          <w:szCs w:val="22"/>
          <w:shd w:val="clear" w:color="auto" w:fill="FFFFFF"/>
        </w:rPr>
        <w:t xml:space="preserve">am, and the ability to </w:t>
      </w:r>
      <w:r w:rsidRPr="007C4290">
        <w:rPr>
          <w:rStyle w:val="normaltextrun"/>
          <w:rFonts w:ascii="Arial" w:hAnsi="Arial" w:cs="Arial"/>
          <w:color w:val="000000" w:themeColor="text1"/>
          <w:sz w:val="22"/>
          <w:szCs w:val="22"/>
          <w:shd w:val="clear" w:color="auto" w:fill="FFFFFF"/>
        </w:rPr>
        <w:t xml:space="preserve">exercise leadership; </w:t>
      </w:r>
    </w:p>
    <w:p w:rsidRPr="007C4290" w:rsidP="00917A90">
      <w:pPr>
        <w:numPr>
          <w:ilvl w:val="0"/>
          <w:numId w:val="12"/>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ability to learn new theories, concepts, methods etc</w:t>
      </w: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 in unfamiliar situations. </w:t>
      </w:r>
    </w:p>
    <w:p w:rsidRPr="007C4290" w:rsidP="00917A90">
      <w:pPr>
        <w:numPr>
          <w:ilvl w:val="0"/>
          <w:numId w:val="12"/>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ability to undertake critical reflection of both their technical and personal performance</w:t>
      </w: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SPECIFIC LEARNING OUTCOMES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In respect of the specific learning outcomes, MSc Technology (Maritime Operations) graduates will also be characterised by some or all of the following. The balance will vary according to the specific details of each programme, one third of which is negoti</w:t>
      </w:r>
      <w:r w:rsidRPr="007C4290">
        <w:rPr>
          <w:rStyle w:val="normaltextrun"/>
          <w:rFonts w:ascii="Arial" w:hAnsi="Arial" w:cs="Arial"/>
          <w:color w:val="000000" w:themeColor="text1"/>
          <w:sz w:val="22"/>
          <w:szCs w:val="22"/>
          <w:shd w:val="clear" w:color="auto" w:fill="FFFFFF"/>
        </w:rPr>
        <w:t xml:space="preserve">ated with the University. </w:t>
      </w:r>
    </w:p>
    <w:p w:rsidRPr="007C4290" w:rsidP="00917A90">
      <w:pPr>
        <w:ind w:left="72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Modern military systems. </w:t>
      </w:r>
    </w:p>
    <w:p w:rsidRPr="007C4290" w:rsidP="00917A90">
      <w:pPr>
        <w:numPr>
          <w:ilvl w:val="0"/>
          <w:numId w:val="13"/>
        </w:numPr>
        <w:ind w:left="144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A comprehensive understanding of the technical underpinning for relevant military systems. </w:t>
      </w:r>
    </w:p>
    <w:p w:rsidRPr="007C4290" w:rsidP="00917A90">
      <w:pPr>
        <w:numPr>
          <w:ilvl w:val="0"/>
          <w:numId w:val="13"/>
        </w:numPr>
        <w:ind w:left="144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An awareness of developing technologies related to relevant military systems</w:t>
      </w:r>
    </w:p>
    <w:p w:rsidRPr="007C4290" w:rsidP="00917A90">
      <w:pPr>
        <w:numPr>
          <w:ilvl w:val="0"/>
          <w:numId w:val="13"/>
        </w:numPr>
        <w:ind w:left="144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An understanding of concepts f</w:t>
      </w:r>
      <w:r w:rsidRPr="007C4290">
        <w:rPr>
          <w:rStyle w:val="normaltextrun"/>
          <w:rFonts w:ascii="Arial" w:hAnsi="Arial" w:cs="Arial"/>
          <w:color w:val="000000" w:themeColor="text1"/>
          <w:sz w:val="22"/>
          <w:szCs w:val="22"/>
          <w:shd w:val="clear" w:color="auto" w:fill="FFFFFF"/>
        </w:rPr>
        <w:t>rom a range of areas including some not currently used in military systems.</w:t>
      </w:r>
      <w:r w:rsidRPr="007C4290">
        <w:rPr>
          <w:rStyle w:val="normaltextrun"/>
          <w:rFonts w:ascii="Arial" w:hAnsi="Arial" w:cs="Arial"/>
          <w:color w:val="000000" w:themeColor="text1"/>
          <w:sz w:val="22"/>
          <w:szCs w:val="22"/>
          <w:shd w:val="clear" w:color="auto" w:fill="FFFFFF"/>
        </w:rPr>
        <w:t xml:space="preserve">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Operations </w:t>
      </w:r>
    </w:p>
    <w:p w:rsidRPr="007C4290" w:rsidP="00917A90">
      <w:pPr>
        <w:pStyle w:val="ListParagraph0"/>
        <w:ind w:left="108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Ability to conduct maritime operations up to &amp; including Task Unit Level across the full spectrum of conflict</w:t>
      </w:r>
    </w:p>
    <w:p w:rsidRPr="007C4290" w:rsidP="00917A90">
      <w:pPr>
        <w:pStyle w:val="ListParagraph0"/>
        <w:ind w:left="108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Ability to manage resources in the Operations Room </w:t>
      </w:r>
    </w:p>
    <w:p w:rsidRPr="007C4290" w:rsidP="00917A90">
      <w:pPr>
        <w:pStyle w:val="ListParagraph0"/>
        <w:ind w:left="108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A</w:t>
      </w:r>
      <w:r w:rsidRPr="007C4290">
        <w:rPr>
          <w:rStyle w:val="normaltextrun"/>
          <w:rFonts w:ascii="Arial" w:hAnsi="Arial" w:cs="Arial"/>
          <w:color w:val="000000" w:themeColor="text1"/>
          <w:sz w:val="22"/>
          <w:szCs w:val="22"/>
          <w:shd w:val="clear" w:color="auto" w:fill="FFFFFF"/>
        </w:rPr>
        <w:t xml:space="preserve"> detailed awareness of how the different sources of intelligence contribute to the overall scenario</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Policy </w:t>
      </w:r>
    </w:p>
    <w:p w:rsidRPr="007C4290" w:rsidP="00917A90">
      <w:pPr>
        <w:pStyle w:val="ListParagraph0"/>
        <w:ind w:left="108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Wide knowledge and comprehensive understanding of the Rules of Engagement and the ability to advise on their application in complex situations.</w:t>
      </w:r>
    </w:p>
    <w:p w:rsidRPr="007C4290" w:rsidP="00917A90">
      <w:pPr>
        <w:ind w:left="72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St</w:t>
      </w:r>
      <w:r w:rsidRPr="007C4290">
        <w:rPr>
          <w:rStyle w:val="normaltextrun"/>
          <w:rFonts w:ascii="Arial" w:hAnsi="Arial" w:cs="Arial"/>
          <w:color w:val="000000" w:themeColor="text1"/>
          <w:sz w:val="22"/>
          <w:szCs w:val="22"/>
          <w:shd w:val="clear" w:color="auto" w:fill="FFFFFF"/>
        </w:rPr>
        <w:t>rategy</w:t>
      </w:r>
      <w:r w:rsidRPr="007C4290">
        <w:rPr>
          <w:rStyle w:val="normaltextrun"/>
          <w:rFonts w:ascii="Arial" w:hAnsi="Arial" w:cs="Arial"/>
          <w:color w:val="000000" w:themeColor="text1"/>
          <w:sz w:val="22"/>
          <w:szCs w:val="22"/>
          <w:shd w:val="clear" w:color="auto" w:fill="FFFFFF"/>
        </w:rPr>
        <w:t xml:space="preserve">  </w:t>
      </w:r>
    </w:p>
    <w:p w:rsidRPr="007C4290" w:rsidP="00917A90">
      <w:pPr>
        <w:pStyle w:val="ListParagraph0"/>
        <w:ind w:left="108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Extensive knowledge and understanding of strategy and how it may be applied appropriately; </w:t>
      </w:r>
    </w:p>
    <w:p w:rsidRPr="007C4290" w:rsidP="00917A90">
      <w:pPr>
        <w:pStyle w:val="ListParagraph0"/>
        <w:ind w:left="108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The ability </w:t>
      </w:r>
      <w:r w:rsidRPr="007C4290">
        <w:rPr>
          <w:rStyle w:val="normaltextrun"/>
          <w:rFonts w:ascii="Arial" w:hAnsi="Arial" w:cs="Arial"/>
          <w:color w:val="000000" w:themeColor="text1"/>
          <w:sz w:val="22"/>
          <w:szCs w:val="22"/>
          <w:shd w:val="clear" w:color="auto" w:fill="FFFFFF"/>
        </w:rPr>
        <w:t xml:space="preserve">to make general evaluations of </w:t>
      </w:r>
      <w:r w:rsidRPr="007C4290">
        <w:rPr>
          <w:rStyle w:val="normaltextrun"/>
          <w:rFonts w:ascii="Arial" w:hAnsi="Arial" w:cs="Arial"/>
          <w:color w:val="000000" w:themeColor="text1"/>
          <w:sz w:val="22"/>
          <w:szCs w:val="22"/>
          <w:shd w:val="clear" w:color="auto" w:fill="FFFFFF"/>
        </w:rPr>
        <w:t xml:space="preserve">risks through some understanding of the basis of such risks. </w:t>
      </w:r>
    </w:p>
    <w:p w:rsidRPr="007C4290" w:rsidP="00917A90">
      <w:pPr>
        <w:ind w:left="72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Tactics </w:t>
      </w:r>
    </w:p>
    <w:p w:rsidRPr="007C4290" w:rsidP="00917A90">
      <w:pPr>
        <w:pStyle w:val="ListParagraph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A thorough understanding of current practice and its limitations, and some appreciation of likely new developments; </w:t>
      </w:r>
    </w:p>
    <w:p w:rsidRPr="007C4290" w:rsidP="00917A90">
      <w:pPr>
        <w:pStyle w:val="ListParagraph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Extensive knowledge and understanding of a wide range of factors contributing to the development of modern maritime operations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Show a deep and systematic understanding within a specialised field of study and its interrelationship with other relevant disciplines.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Use personal reflection to analyse self and own actions.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Act with initiative in decision-making and accessing support within professional or given guidelines, accepting full accountability foroutcomes.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Demonstrates an understanding of current theoretical and methodologicalapproaches and how these affect the way the knowledge base is interpreted.</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Make connections between known and unknown areas, to allow foradaptation and change.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Operate in complex and unpredictable and/or specialised contexts, requiring selection and application from a wide range of advanced techniques and information sources.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Works with ideas at a level of abstraction, arguing from competingperspectives.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drawing>
          <wp:inline>
            <wp:extent cx="9353550" cy="1323975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9353550" cy="13239750"/>
                    </a:xfrm>
                    <a:prstGeom prst="rect">
                      <a:avLst/>
                    </a:prstGeom>
                  </pic:spPr>
                </pic:pic>
              </a:graphicData>
            </a:graphic>
          </wp:inline>
        </w:drawing>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Technology (Maritime Operations)</w:t>
      </w:r>
    </w:p>
    <w:p w:rsidR="008B5CAF" w:rsidRPr="008B5CAF" w:rsidP="008B5CAF" w14:paraId="22073769" w14:textId="77777777">
      <w:pPr>
        <w:rPr>
          <w:rFonts w:eastAsia="Arial"/>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ind w:left="360"/>
        <w:rPr>
          <w:rFonts w:ascii="Arial" w:hAnsi="Arial" w:cs="Arial"/>
          <w:sz w:val="22"/>
          <w:szCs w:val="22"/>
        </w:rPr>
      </w:pPr>
      <w:r w:rsidRPr="503DC450">
        <w:rPr>
          <w:rFonts w:ascii="Arial" w:hAnsi="Arial" w:cs="Arial"/>
          <w:b/>
          <w:bCs/>
          <w:sz w:val="22"/>
          <w:szCs w:val="22"/>
        </w:rPr>
        <w:t> </w:t>
      </w:r>
      <w:r w:rsidRPr="503DC450">
        <w:rPr>
          <w:rFonts w:ascii="Arial" w:hAnsi="Arial" w:cs="Arial"/>
          <w:sz w:val="22"/>
          <w:szCs w:val="22"/>
        </w:rPr>
        <w:t>Supervision is generally by Skype, email and phone. This is well suited to the mode of study of the students’ who are predominantly naval officers, often on operations.</w:t>
      </w:r>
    </w:p>
    <w:p w:rsidRPr="503DC450" w:rsidP="007D20BC">
      <w:pPr>
        <w:rPr>
          <w:rFonts w:ascii="Arial" w:hAnsi="Arial" w:cs="Arial"/>
          <w:sz w:val="22"/>
          <w:szCs w:val="22"/>
        </w:rPr>
      </w:pPr>
      <w:r w:rsidRPr="503DC450">
        <w:rPr>
          <w:rFonts w:ascii="Arial" w:hAnsi="Arial" w:cs="Arial"/>
          <w:i/>
          <w:iCs/>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b/>
          <w:bCs/>
          <w:sz w:val="22"/>
          <w:szCs w:val="22"/>
        </w:rPr>
        <w:t> </w:t>
      </w:r>
      <w:r w:rsidRPr="503DC450">
        <w:rPr>
          <w:rFonts w:ascii="Arial" w:hAnsi="Arial" w:cs="Arial"/>
          <w:sz w:val="22"/>
          <w:szCs w:val="22"/>
        </w:rPr>
        <w:t xml:space="preserve">Students are supported by and Individual tutor </w:t>
      </w:r>
      <w:r w:rsidRPr="503DC450">
        <w:rPr>
          <w:rFonts w:ascii="Arial" w:hAnsi="Arial" w:cs="Arial"/>
          <w:sz w:val="22"/>
          <w:szCs w:val="22"/>
        </w:rPr>
        <w:t>who will provide briefing material and formative feedback on draft assignments.</w:t>
      </w:r>
    </w:p>
    <w:p w:rsidRPr="503DC450" w:rsidP="00B40E99">
      <w:pPr>
        <w:rPr>
          <w:rFonts w:ascii="Arial" w:hAnsi="Arial" w:cs="Arial"/>
          <w:sz w:val="22"/>
          <w:szCs w:val="22"/>
        </w:rPr>
      </w:pPr>
      <w:r w:rsidRPr="503DC450">
        <w:rPr>
          <w:rFonts w:ascii="Arial" w:hAnsi="Arial" w:cs="Arial"/>
          <w:sz w:val="22"/>
          <w:szCs w:val="22"/>
        </w:rPr>
        <w:t>The t</w:t>
      </w:r>
      <w:r w:rsidRPr="503DC450">
        <w:rPr>
          <w:rFonts w:ascii="Arial" w:hAnsi="Arial" w:cs="Arial"/>
          <w:sz w:val="22"/>
          <w:szCs w:val="22"/>
        </w:rPr>
        <w:t>ypical process for individual submissions is as follows:</w:t>
      </w:r>
    </w:p>
    <w:p w:rsidRPr="503DC450" w:rsidP="00B40E99">
      <w:pPr>
        <w:pStyle w:val="ListParagraph0"/>
        <w:ind w:left="1080"/>
        <w:rPr>
          <w:rFonts w:ascii="Arial" w:hAnsi="Arial" w:cs="Arial"/>
          <w:sz w:val="22"/>
          <w:szCs w:val="22"/>
        </w:rPr>
      </w:pP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Student provided with briefing material followed by discussion with tutor if desired</w:t>
      </w:r>
    </w:p>
    <w:p w:rsidRPr="503DC450" w:rsidP="00B40E99">
      <w:pPr>
        <w:pStyle w:val="ListParagraph0"/>
        <w:ind w:left="1080"/>
        <w:rPr>
          <w:rFonts w:ascii="Arial" w:hAnsi="Arial" w:cs="Arial"/>
          <w:sz w:val="22"/>
          <w:szCs w:val="22"/>
        </w:rPr>
      </w:pP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Student produces part of/ complete draft as agreed with tutor</w:t>
      </w:r>
    </w:p>
    <w:p w:rsidRPr="503DC450" w:rsidP="00B40E99">
      <w:pPr>
        <w:pStyle w:val="ListParagraph0"/>
        <w:ind w:left="1080"/>
        <w:rPr>
          <w:rFonts w:ascii="Arial" w:hAnsi="Arial" w:cs="Arial"/>
          <w:sz w:val="22"/>
          <w:szCs w:val="22"/>
        </w:rPr>
      </w:pP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Tutor provides (written) formative feedback followed</w:t>
      </w:r>
      <w:r w:rsidRPr="503DC450">
        <w:rPr>
          <w:rFonts w:ascii="Arial" w:hAnsi="Arial" w:cs="Arial"/>
          <w:sz w:val="22"/>
          <w:szCs w:val="22"/>
        </w:rPr>
        <w:t xml:space="preserve"> by discussion with tutor if desired </w:t>
      </w:r>
    </w:p>
    <w:p w:rsidRPr="503DC450" w:rsidP="00B40E99">
      <w:pPr>
        <w:pStyle w:val="ListParagraph0"/>
        <w:ind w:left="1080"/>
        <w:rPr>
          <w:rFonts w:ascii="Arial" w:hAnsi="Arial" w:cs="Arial"/>
          <w:sz w:val="22"/>
          <w:szCs w:val="22"/>
        </w:rPr>
      </w:pP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Students submits “best &amp; final” for assessment </w:t>
      </w:r>
    </w:p>
    <w:p w:rsidRPr="503DC450" w:rsidP="00B40E99">
      <w:pPr>
        <w:pStyle w:val="ListParagraph0"/>
        <w:ind w:left="1080"/>
        <w:rPr>
          <w:rFonts w:ascii="Arial" w:hAnsi="Arial" w:cs="Arial"/>
          <w:sz w:val="22"/>
          <w:szCs w:val="22"/>
        </w:rPr>
      </w:pP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Submission is assessed and feedback / mark sheet is sent to student</w:t>
      </w:r>
      <w:r w:rsidRPr="503DC450">
        <w:rPr>
          <w:rFonts w:ascii="Arial" w:hAnsi="Arial" w:cs="Arial"/>
          <w:sz w:val="22"/>
          <w:szCs w:val="22"/>
        </w:rPr>
        <w:t>:</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The University has several methods for evaluating and improving the quality and standards of its provision.</w:t>
      </w:r>
      <w:r w:rsidRPr="503DC450">
        <w:rPr>
          <w:rFonts w:ascii="Arial" w:hAnsi="Arial" w:cs="Arial"/>
          <w:sz w:val="22"/>
          <w:szCs w:val="22"/>
        </w:rPr>
        <w:t xml:space="preserve">  </w:t>
      </w:r>
      <w:r w:rsidRPr="503DC450">
        <w:rPr>
          <w:rFonts w:ascii="Arial" w:hAnsi="Arial" w:cs="Arial"/>
          <w:sz w:val="22"/>
          <w:szCs w:val="22"/>
        </w:rPr>
        <w:t>These include: </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Annual Monitoring and Enhancement</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Feedback from employers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As stated above the students on this programme tend to be mid career Naval Officers and so are already in employment.</w:t>
      </w:r>
    </w:p>
    <w:p w:rsidRPr="503DC450" w:rsidP="001A372B">
      <w:pPr>
        <w:rPr>
          <w:rFonts w:ascii="Arial" w:hAnsi="Arial" w:cs="Arial"/>
          <w:sz w:val="22"/>
          <w:szCs w:val="22"/>
        </w:rPr>
      </w:pPr>
      <w:r w:rsidRPr="503DC450">
        <w:rPr>
          <w:rFonts w:ascii="Arial" w:hAnsi="Arial" w:cs="Arial"/>
          <w:sz w:val="22"/>
          <w:szCs w:val="22"/>
        </w:rPr>
        <w:t xml:space="preserve">The students who </w:t>
      </w:r>
      <w:r w:rsidRPr="503DC450">
        <w:rPr>
          <w:rFonts w:ascii="Arial" w:hAnsi="Arial" w:cs="Arial"/>
          <w:sz w:val="22"/>
          <w:szCs w:val="22"/>
        </w:rPr>
        <w:t>successfully complete</w:t>
      </w:r>
      <w:r w:rsidRPr="503DC450">
        <w:rPr>
          <w:rFonts w:ascii="Arial" w:hAnsi="Arial" w:cs="Arial"/>
          <w:sz w:val="22"/>
          <w:szCs w:val="22"/>
        </w:rPr>
        <w:t xml:space="preserve"> this programme will tend</w:t>
      </w:r>
      <w:r w:rsidRPr="503DC450">
        <w:rPr>
          <w:rFonts w:ascii="Arial" w:hAnsi="Arial" w:cs="Arial"/>
          <w:sz w:val="22"/>
          <w:szCs w:val="22"/>
        </w:rPr>
        <w:t xml:space="preserve"> to enhance their employability prospects within their existing organisation as the skill sets that they develop are highly sought after. These skill sets are also likely to be beneficial when the student leaves the Navy to take up a civilian role.</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 N/A</w:t>
      </w:r>
      <w:r w:rsidRPr="503DC450">
        <w:rPr>
          <w:rFonts w:ascii="Arial" w:hAnsi="Arial" w:cs="Arial"/>
          <w:i/>
          <w:iCs/>
          <w:sz w:val="22"/>
          <w:szCs w:val="22"/>
        </w:rPr>
        <w:t xml:space="preserve">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p"/>
        <w:spacing w:before="0" w:after="0"/>
        <w:ind w:left="0" w:right="0"/>
        <w:rPr>
          <w:rFonts w:ascii="Arial" w:eastAsia="Arial" w:hAnsi="Arial" w:cs="Arial"/>
          <w:i/>
          <w:iCs/>
          <w:color w:val="FF0000"/>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N/A</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802"/>
        <w:gridCol w:w="31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r>
      <w:tr>
        <w:trPr>
          <w:trHeight w:val="230"/>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49BD309-A5AE-439C-9AD2-150F263929C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