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Structural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Structural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Structural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Structural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PPSTE1STE20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PFSTE1STE20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H425</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Structural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Structural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Structural Engineering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PFSTE1STE99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accredited by the Joint Board of Moderators (</w:t>
            </w:r>
            <w:hyperlink r:id="rId9" w:tgtFrame="_blank"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of the Institution of Civil Engineers, Institution of Structural Engineers, Institute of Highway Engineers, the Chartered Institution of Highways and Transportation and the Permanent Way Institution on behalf of the Engineering Council as meeting the academic requirement for Further Learning for registration as a Chartered Engineer (CEng). To hold accredited qualifications for CEng registration, candidates must also hold a Bachelor (Hons) degree that has been accredited as partially meeting the academic requirement for registration as a Chartered Engineer (CEng).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degree also accredited by Chartered Institute of Building (</w:t>
            </w:r>
            <w:hyperlink r:id="rId10" w:tgtFrame="_blank" w:history="1">
              <w:r w:rsidRPr="2030048C">
                <w:rPr>
                  <w:rStyle w:val="normaltextrun"/>
                  <w:rFonts w:ascii="Arial" w:eastAsia="Arial" w:hAnsi="Arial" w:cs="Arial"/>
                  <w:b w:val="0"/>
                  <w:bCs w:val="0"/>
                  <w:color w:val="000000"/>
                  <w:sz w:val="24"/>
                  <w:szCs w:val="24"/>
                  <w:shd w:val="clear" w:color="auto" w:fill="FFFFFF"/>
                </w:rPr>
                <w:t>CIOB</w:t>
              </w:r>
            </w:hyperlink>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Yes, we have approved variants required to meet the new Engineering Council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t>
            </w:r>
            <w:hyperlink r:id="rId11" w:tgtFrame="_blank" w:history="1">
              <w:r w:rsidRPr="158602C4">
                <w:rPr>
                  <w:rStyle w:val="normaltextrun"/>
                  <w:rFonts w:ascii="Arial" w:eastAsia="Arial" w:hAnsi="Arial" w:cs="Arial"/>
                  <w:b w:val="0"/>
                  <w:bCs w:val="0"/>
                  <w:color w:val="000000" w:themeColor="text1" w:themeShade="FF" w:themeTint="FF"/>
                  <w:sz w:val="24"/>
                  <w:szCs w:val="24"/>
                </w:rPr>
                <w:t>compensation-and-condonement-policy</w:t>
              </w:r>
            </w:hyperlink>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allow 4 x 15-credit modules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graduates with advanced knowledge and understanding of structural analysis and detailed design of reinforced concrete, composite and steel structures and their foundations to the relevant codes;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Examine the principles and technical requirements for the conceptual design, dynamic analysis, and detailed design of buildings subjected to earthquake induced actions;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Allow graduates to acquire interpersonal, design thinking, system thinking complex problem-solving, business and subject-specific skills and the ability to analyse, evaluate, judge and critically reflect upon issues in the management of complex civil engineering projects;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furnish graduates with key graduate attributes such as problem-solving, communication, digital competency, adaptability in addition to firmly grasp of sustainability and Health and Safety risk management, professionalism, ethics and inclusion practice principles;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graduates with research and investigative skills and a critical and research-oriented approach to the study of management techniques related to the construction industry, significantly enhancing their career opportunities;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with Professional Placement an opportunity to develop and practice skills, acquired knowledge in the workplace;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structures in concrete and steel and composite structures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the conceptual &amp; detailed design of modern structures in concrete or steel using state-of-the- art design techniques and up-to- date design codes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structures subjected to seismic actions.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sophisticated analysis and design of structures subjected to seismic actions using latest methods and design codes (MSc Structural Design and Construction Management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substructures and foundations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critically review solutions to substructures and foundations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management tools and techniques including risk, health &amp; safety and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project management tools and techniques to assess risk and control quality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Advanced methods in the design of steel and composite sections.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Analyse, evaluate and reflect upon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issues of sustainable structural design.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digital technologies, software and tools in the construction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able to draw on knowledge and expertise from different disciplines to solve complex problems and understand and appreciate the interconnectedness of different systems and how they interact.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Students opting for a degree with professional placement will additionally be able to: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Transcribe and apply the experiences of the practical work-based environment to academic study and chosen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degree with professional placement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Civil Engineering</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MSc Structural Engineering</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CellSpacing w:w="15" w:type="dxa"/>
        <w:tblCellMar>
          <w:top w:w="15" w:type="dxa"/>
          <w:left w:w="15" w:type="dxa"/>
          <w:bottom w:w="15" w:type="dxa"/>
          <w:right w:w="15" w:type="dxa"/>
        </w:tblCellMar>
      </w:tblPr>
      <w:tblGrid>
        <w:gridCol w:w="5176"/>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CE7720</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Technologies and Construction Modelling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15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pPr>
        <w:rPr>
          <w:vanish/>
        </w:rPr>
      </w:pPr>
    </w:p>
    <w:tbl>
      <w:tblPr>
        <w:tblCellSpacing w:w="15" w:type="dxa"/>
        <w:tblCellMar>
          <w:top w:w="15" w:type="dxa"/>
          <w:left w:w="15" w:type="dxa"/>
          <w:bottom w:w="15" w:type="dxa"/>
          <w:right w:w="15" w:type="dxa"/>
        </w:tblCellMar>
      </w:tblPr>
      <w:tblGrid>
        <w:gridCol w:w="5256"/>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CE7701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Advanced Dynamic Analysis and Seismic Design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15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pPr>
        <w:rPr>
          <w:vanish/>
        </w:rPr>
      </w:pPr>
    </w:p>
    <w:tbl>
      <w:tblPr>
        <w:tblCellSpacing w:w="15" w:type="dxa"/>
        <w:tblCellMar>
          <w:top w:w="15" w:type="dxa"/>
          <w:left w:w="15" w:type="dxa"/>
          <w:bottom w:w="15" w:type="dxa"/>
          <w:right w:w="15" w:type="dxa"/>
        </w:tblCellMar>
      </w:tblPr>
      <w:tblGrid>
        <w:gridCol w:w="3949"/>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CE7019</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Foundation and Substructure Design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15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pPr>
        <w:rPr>
          <w:vanish/>
        </w:rPr>
      </w:pPr>
    </w:p>
    <w:tbl>
      <w:tblPr>
        <w:tblCellSpacing w:w="15" w:type="dxa"/>
        <w:tblCellMar>
          <w:top w:w="15" w:type="dxa"/>
          <w:left w:w="15" w:type="dxa"/>
          <w:bottom w:w="15" w:type="dxa"/>
          <w:right w:w="15" w:type="dxa"/>
        </w:tblCellMar>
      </w:tblPr>
      <w:tblGrid>
        <w:gridCol w:w="3255"/>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CE7721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Design of Concrete Structures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15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pPr>
        <w:rPr>
          <w:vanish/>
        </w:rPr>
      </w:pPr>
    </w:p>
    <w:tbl>
      <w:tblPr>
        <w:tblCellSpacing w:w="15" w:type="dxa"/>
        <w:tblCellMar>
          <w:top w:w="15" w:type="dxa"/>
          <w:left w:w="15" w:type="dxa"/>
          <w:bottom w:w="15" w:type="dxa"/>
          <w:right w:w="15" w:type="dxa"/>
        </w:tblCellMar>
      </w:tblPr>
      <w:tblGrid>
        <w:gridCol w:w="6750"/>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CE7020</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Design of Composite Structures and Design of Steel Structures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pPr>
        <w:rPr>
          <w:vanish/>
        </w:rPr>
      </w:pPr>
    </w:p>
    <w:tbl>
      <w:tblPr>
        <w:tblCellSpacing w:w="15" w:type="dxa"/>
        <w:tblCellMar>
          <w:top w:w="15" w:type="dxa"/>
          <w:left w:w="15" w:type="dxa"/>
          <w:bottom w:w="15" w:type="dxa"/>
          <w:right w:w="15" w:type="dxa"/>
        </w:tblCellMar>
      </w:tblPr>
      <w:tblGrid>
        <w:gridCol w:w="5149"/>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CE7722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Management of Project Risk, Quality and Safety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pPr>
        <w:rPr>
          <w:vanish/>
        </w:rPr>
      </w:pPr>
    </w:p>
    <w:tbl>
      <w:tblPr>
        <w:tblCellSpacing w:w="15" w:type="dxa"/>
        <w:tblCellMar>
          <w:top w:w="15" w:type="dxa"/>
          <w:left w:w="15" w:type="dxa"/>
          <w:bottom w:w="15" w:type="dxa"/>
          <w:right w:w="15" w:type="dxa"/>
        </w:tblCellMar>
      </w:tblPr>
      <w:tblGrid>
        <w:gridCol w:w="5162"/>
      </w:tblGrid>
      <w:tr>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CE7724</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Dissertation and Research Project Development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60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4"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Structural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 Dynamic Analysis and Seismic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Composite Structures and Design of Steel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 Design of Substructures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Engineering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Structural Engineering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60 level 7 credits are eligible for the award of Postgraduate Certificate.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120 level 7 credits are eligible for the award of Postgraduate Diploma.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(Where appropriate – specify if there are any core modules that students must achieve for either of the exit awards)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Please note pre-requisite requirements for master’s courses should only be set where there are defined progression points in the course where assessment boards have ratified module outcomes.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hyperlink r:id="rId15" w:history="1">
        <w:r w:rsidRPr="2030048C">
          <w:rPr>
            <w:rFonts w:ascii="Arial" w:eastAsia="Arial" w:hAnsi="Arial" w:cs="Arial"/>
            <w:sz w:val="24"/>
            <w:szCs w:val="24"/>
          </w:rPr>
          <w:t>JBM Guidelines for MSc and Doctoral Programmes (Updated to reflect AHEP4 requirements)</w:t>
        </w:r>
      </w:hyperlink>
    </w:p>
    <w:p w:rsidRPr="2030048C" w:rsidP="2030048C">
      <w:pPr>
        <w:numPr>
          <w:ilvl w:val="0"/>
          <w:numId w:val="17"/>
        </w:numPr>
        <w:ind w:left="720" w:hanging="360"/>
        <w:jc w:val="left"/>
        <w:rPr>
          <w:rFonts w:ascii="Arial" w:eastAsia="Arial" w:hAnsi="Arial" w:cs="Arial"/>
          <w:sz w:val="24"/>
          <w:szCs w:val="24"/>
        </w:rPr>
      </w:pPr>
      <w:hyperlink r:id="rId16" w:history="1">
        <w:r w:rsidRPr="2030048C">
          <w:rPr>
            <w:rFonts w:ascii="Arial" w:eastAsia="Arial" w:hAnsi="Arial" w:cs="Arial"/>
            <w:sz w:val="24"/>
            <w:szCs w:val="24"/>
          </w:rPr>
          <w:t>QAA subject benchmarks for Engineering (March 2023)</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73"/>
        <w:gridCol w:w="350"/>
        <w:gridCol w:w="884"/>
        <w:gridCol w:w="884"/>
        <w:gridCol w:w="884"/>
        <w:gridCol w:w="884"/>
        <w:gridCol w:w="884"/>
        <w:gridCol w:w="884"/>
        <w:gridCol w:w="884"/>
        <w:gridCol w:w="79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s://www.qaa.ac.uk/the-quality-code/subject-benchmark-statements/subject-benchmark-statement-engineering"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engc.org.uk/media/3844/compensation-and-condonement-policy-2021.pdf" TargetMode="External"/><Relationship Id="rId6" Type="http://schemas.openxmlformats.org/officeDocument/2006/relationships/customXml" Target="../customXml/item3.xml"/><Relationship Id="rId15" Type="http://schemas.openxmlformats.org/officeDocument/2006/relationships/hyperlink" Target="https://jbm.org.uk/media/yy3p4kzk/jbm-guidlines-for-msc-and-programmes-of-ceng-further-learning-fl-_ahep4.pdf" TargetMode="External"/><Relationship Id="rId10" Type="http://schemas.openxmlformats.org/officeDocument/2006/relationships/hyperlink" Target="https://www.ciob.org/" TargetMode="External"/><Relationship Id="rId19" Type="http://schemas.openxmlformats.org/officeDocument/2006/relationships/styles" Target="styles.xml"/><Relationship Id="rId14"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1.xml"/><Relationship Id="rId9" Type="http://schemas.openxmlformats.org/officeDocument/2006/relationships/hyperlink" Target="https://jbm.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0FE90F9-14D8-4B49-80C0-351990C62B5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