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Software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Software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Software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Software Engineering</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G565/G501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Software Engineering with Management Studies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Software Engineering with Management Studies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Software Engineering with Management Studies</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Software Engineering with Management Studies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Software Engineering with Management Studies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Software Engineering with Management Studies with Professional Placement</w:t>
            </w: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Software Engineering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Software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Software Engineering with Professional Placement</w:t>
            </w:r>
          </w:p>
          <w:p w:rsidR="72431AC7" w:rsidP="2030048C" w14:textId="7E0F963D">
            <w:pPr>
              <w:rPr>
                <w:rFonts w:ascii="Arial" w:eastAsia="Arial" w:hAnsi="Arial" w:cs="Arial"/>
                <w:b w:val="0"/>
                <w:bCs w:val="0"/>
                <w:sz w:val="24"/>
                <w:szCs w:val="24"/>
                <w:lang w:val="en-GB"/>
              </w:rPr>
            </w:pP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u w:val="single"/>
              </w:rPr>
              <w:t>Compensation of the project module</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Compensation is not permitted for the following module:</w:t>
            </w:r>
          </w:p>
          <w:p w:rsidR="5D711985" w:rsidRPr="158602C4" w:rsidP="158602C4">
            <w:pPr>
              <w:pStyle w:val="li"/>
              <w:widowControl w:val="0"/>
              <w:numPr>
                <w:ilvl w:val="0"/>
                <w:numId w:val="12"/>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CI6</w:t>
            </w:r>
            <w:r w:rsidRPr="158602C4">
              <w:rPr>
                <w:rStyle w:val="normaltextrun"/>
                <w:rFonts w:ascii="Arial" w:eastAsia="Arial" w:hAnsi="Arial" w:cs="Arial"/>
                <w:b w:val="0"/>
                <w:bCs w:val="0"/>
                <w:color w:val="000000" w:themeColor="text1" w:themeShade="FF" w:themeTint="FF"/>
                <w:sz w:val="22"/>
                <w:szCs w:val="22"/>
              </w:rPr>
              <w:t>300 Individual Project</w:t>
            </w:r>
          </w:p>
          <w:p w:rsidR="5D711985" w:rsidRPr="158602C4" w:rsidP="158602C4">
            <w:pPr>
              <w:pStyle w:val="p"/>
              <w:widowControl w:val="0"/>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Reassessment </w:t>
            </w:r>
            <w:r w:rsidRPr="158602C4">
              <w:rPr>
                <w:rStyle w:val="normaltextrun"/>
                <w:rFonts w:ascii="Arial" w:eastAsia="Arial" w:hAnsi="Arial" w:cs="Arial"/>
                <w:b w:val="0"/>
                <w:bCs w:val="0"/>
                <w:color w:val="000000" w:themeColor="text1" w:themeShade="FF" w:themeTint="FF"/>
                <w:sz w:val="22"/>
                <w:szCs w:val="22"/>
              </w:rPr>
              <w:t>following failure of the first attempt</w:t>
            </w:r>
            <w:r w:rsidRPr="158602C4">
              <w:rPr>
                <w:rStyle w:val="normaltextrun"/>
                <w:rFonts w:ascii="Arial" w:eastAsia="Arial" w:hAnsi="Arial" w:cs="Arial"/>
                <w:b w:val="0"/>
                <w:bCs w:val="0"/>
                <w:color w:val="000000" w:themeColor="text1" w:themeShade="FF" w:themeTint="FF"/>
                <w:sz w:val="22"/>
                <w:szCs w:val="22"/>
              </w:rPr>
              <w:t xml:space="preserve"> will normally be</w:t>
            </w:r>
            <w:r w:rsidRPr="158602C4">
              <w:rPr>
                <w:rStyle w:val="normaltextrun"/>
                <w:rFonts w:ascii="Arial" w:eastAsia="Arial" w:hAnsi="Arial" w:cs="Arial"/>
                <w:b w:val="0"/>
                <w:bCs w:val="0"/>
                <w:color w:val="000000" w:themeColor="text1" w:themeShade="FF" w:themeTint="FF"/>
                <w:sz w:val="22"/>
                <w:szCs w:val="22"/>
              </w:rPr>
              <w:t>:</w:t>
            </w:r>
            <w:r w:rsidRPr="158602C4">
              <w:rPr>
                <w:rStyle w:val="normaltextrun"/>
                <w:rFonts w:ascii="Arial" w:eastAsia="Arial" w:hAnsi="Arial" w:cs="Arial"/>
                <w:b w:val="0"/>
                <w:bCs w:val="0"/>
                <w:color w:val="000000" w:themeColor="text1" w:themeShade="FF" w:themeTint="FF"/>
                <w:sz w:val="22"/>
                <w:szCs w:val="22"/>
              </w:rPr>
              <w:t xml:space="preserve"> </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9"/>
              <w:jc w:val="left"/>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by retake to improve the dissertation for marginal failure (Grade F5 or marks of 35-39) and the mark will be capped</w:t>
            </w:r>
          </w:p>
          <w:p w:rsidR="5D711985" w:rsidRPr="158602C4" w:rsidP="158602C4">
            <w:pPr>
              <w:pStyle w:val="li"/>
              <w:widowControl w:val="0"/>
              <w:numPr>
                <w:ilvl w:val="0"/>
                <w:numId w:val="13"/>
              </w:numPr>
              <w:pBdr>
                <w:left w:val="none" w:sz="0" w:space="7" w:color="auto"/>
              </w:pBdr>
              <w:shd w:val="clear" w:color="auto" w:fill="FFFFFE"/>
              <w:spacing w:before="0" w:beforeAutospacing="0" w:after="0" w:afterAutospacing="0" w:line="285" w:lineRule="auto"/>
              <w:ind w:left="720" w:right="0" w:hanging="510"/>
              <w:jc w:val="left"/>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or </w:t>
            </w:r>
            <w:r w:rsidRPr="158602C4">
              <w:rPr>
                <w:rStyle w:val="normaltextrun"/>
                <w:rFonts w:ascii="Arial" w:eastAsia="Arial" w:hAnsi="Arial" w:cs="Arial"/>
                <w:b w:val="0"/>
                <w:bCs w:val="0"/>
                <w:color w:val="000000" w:themeColor="text1" w:themeShade="FF" w:themeTint="FF"/>
                <w:sz w:val="22"/>
                <w:szCs w:val="22"/>
              </w:rPr>
              <w:t xml:space="preserve">by repeat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capability to exploit software engineering methods, tools and design skills which will enable them to design and develop applications for organisations in the 21st century.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a student’s job performance and enable him/her to contribute effectively to the knowledge base of the employer.</w:t>
      </w:r>
    </w:p>
    <w:p w:rsidRPr="2030048C" w:rsidP="2030048C">
      <w:pPr>
        <w:pStyle w:val="MsoBodyText2"/>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the means to explore in detail the technical delivery architecture, systems integration, and consumer facing software systems.</w:t>
      </w:r>
    </w:p>
    <w:p w:rsidRPr="2030048C" w:rsidP="2030048C">
      <w:pPr>
        <w:pStyle w:val="cel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Maintain productive links with industry which provide sufficient background for an industrial/commercial dimension to the course.</w:t>
      </w:r>
    </w:p>
    <w:p w:rsidRPr="2030048C" w:rsidP="2030048C">
      <w:pPr>
        <w:pStyle w:val="ListParagraph"/>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Undertake continuing professional development and updating for established IT professionals.</w:t>
      </w:r>
    </w:p>
    <w:p w:rsidRPr="2030048C" w:rsidP="2030048C">
      <w:pPr>
        <w:pStyle w:val="ListParagraph"/>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Implant an enquiring, analytical and creative approach to both personal and professional activities that leads to the critical and responsible use of informed and independent judgement. </w:t>
      </w:r>
    </w:p>
    <w:p w:rsidRPr="2030048C" w:rsidP="2030048C">
      <w:pPr>
        <w:pStyle w:val="MsoBodyText2"/>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Undertake a more effective role in software systems design and development.</w:t>
      </w:r>
    </w:p>
    <w:p w:rsidRPr="2030048C" w:rsidP="2030048C">
      <w:pPr>
        <w:pStyle w:val="ListParagraph"/>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1"/>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Gain a solid foundation in this specialist area, building on knowledge and skills gained from students individual backgrounds. </w:t>
      </w:r>
    </w:p>
    <w:p w:rsidRPr="2030048C" w:rsidP="2030048C">
      <w:pPr>
        <w:pStyle w:val="ListParagraph"/>
        <w:ind w:left="70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in-depth understanding of the new software development strategies and architectures appropriate to the design of Internet-oriented applications.</w:t>
      </w:r>
    </w:p>
    <w:p w:rsidRPr="2030048C" w:rsidP="2030048C">
      <w:pPr>
        <w:pStyle w:val="ListParagraph"/>
        <w:ind w:left="142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2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opportunity to study a subject area which is relevant to the field but also satisfies the individual's background and experience.</w:t>
      </w:r>
    </w:p>
    <w:p w:rsidRPr="2030048C" w:rsidP="2030048C">
      <w:pPr>
        <w:pStyle w:val="MsoBodyText2"/>
        <w:ind w:left="142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apply specialised knowledge and skills to the analysis and solution of novel problems in commerce and the industry.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odyText2"/>
        <w:ind w:left="1425"/>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odyTex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In addition the aims of the course with Management Studies is to:</w:t>
      </w:r>
    </w:p>
    <w:p w:rsidRPr="2030048C" w:rsidP="2030048C">
      <w:pPr>
        <w:pStyle w:val="ListParagraph"/>
        <w:numPr>
          <w:ilvl w:val="0"/>
          <w:numId w:val="2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Extend the student’s knowledge and skills into key areas of general management.</w:t>
      </w:r>
    </w:p>
    <w:p w:rsidRPr="2030048C" w:rsidP="2030048C">
      <w:pPr>
        <w:pStyle w:val="ListParagraph"/>
        <w:numPr>
          <w:ilvl w:val="0"/>
          <w:numId w:val="2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skills to lead teams incorporating software engineering specialists, and systems architects, as well as other IT professionals.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Understanding of current developments in Software Engineering and their potential and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and development of software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Understanding of the ethical, legal and professional issues in the development of software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define the business context that software applications can sit within, and across (e.g. a collaborative service scenario).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software that meets the needs and aspiration of the users. This specification should include a conceptual data model for Web business applications, identifying entities and attributes, using a recognised notation.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Understanding of software engineering principles and practical techniques required for the design and development of Web business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and select appropriate software engineering tools for a software development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Understanding of the tools and technologies necessary for business application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area of software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optimal software architectures using appropriate methods and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Software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Software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Architecture and Programming Models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Quality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Beyond Optimising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Mobile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Software Engineering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Software Engineering with Management Studies</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Architecture and Programming Models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Quality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Beyond Optimising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Software Engineering with Management Studies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Software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 xml:space="preserve">QAA Benchmark statement website:  </w:t>
      </w:r>
      <w:hyperlink r:id="rId12" w:history="1">
        <w:r w:rsidRPr="2030048C">
          <w:rPr>
            <w:rFonts w:ascii="Arial" w:eastAsia="Arial" w:hAnsi="Arial" w:cs="Arial"/>
            <w:sz w:val="22"/>
            <w:szCs w:val="22"/>
          </w:rPr>
          <w:t>http://www.qaa.ac.uk/docs/qaa/subject-benchmark-statements/sbs-masters-degree-computing.pdf?sfvrsn=c490f681_16</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British Computer Society (The Chartered Institute for IT) </w:t>
      </w:r>
      <w:hyperlink r:id="rId13" w:history="1">
        <w:r w:rsidRPr="2030048C">
          <w:rPr>
            <w:rFonts w:ascii="Arial" w:eastAsia="Arial" w:hAnsi="Arial" w:cs="Arial"/>
            <w:sz w:val="22"/>
            <w:szCs w:val="22"/>
          </w:rPr>
          <w:t>https://www.bcs.org</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Guidance on Enterprise and Entrepreneurship </w:t>
      </w:r>
    </w:p>
    <w:p w:rsidRPr="2030048C" w:rsidP="2030048C">
      <w:pPr>
        <w:rPr>
          <w:rFonts w:ascii="Arial" w:eastAsia="Arial" w:hAnsi="Arial" w:cs="Arial"/>
          <w:sz w:val="24"/>
          <w:szCs w:val="24"/>
        </w:rPr>
      </w:pPr>
      <w:hyperlink r:id="rId14" w:history="1">
        <w:r w:rsidRPr="2030048C">
          <w:rPr>
            <w:rFonts w:ascii="Arial" w:eastAsia="Arial" w:hAnsi="Arial" w:cs="Arial"/>
            <w:sz w:val="22"/>
            <w:szCs w:val="22"/>
          </w:rPr>
          <w:t>http://www.qaa.ac.uk/docs/qaa/about-us/enterprise-and-entrpreneurship-education-2018.pdf?sfvrsn=20e2f581_10</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multilevel"/>
    <w:tmpl w:val="74989B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 w:type="paragraph" w:customStyle="1" w:styleId="MsoBodyText2">
    <w:name w:val="MsoBodyText2"/>
    <w:basedOn w:val="ListParagraph"/>
  </w:style>
  <w:style w:type="paragraph" w:customStyle="1" w:styleId="cell">
    <w:name w:val="cell"/>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subject-benchmark-statements/sbs-masters-degree-computing.pdf?sfvrsn=c490f681_16"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qaa.ac.uk/docs/qaa/about-us/enterprise-and-entrpreneurship-education-2018.pdf?sfvrsn=20e2f581_10"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91495F1-16B5-4ABE-9914-C69952180BE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