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IT and Strategic Innovation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Uni (ESU), ESOFT Metro Campus (EMC)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IT and Strategic Innovation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IT and Strategic Innovation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IT and Strategic Innovation</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N324, N323</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Uni (ESU), ESOFT Metro Campus (EMC)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Metro Campus is Colombo, Kandy, Jaffna and Kurunegala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good honours degree in a subject with significant computing science or mathematics/statistics content. Typical appropriate first degree subjects would include: computer science (including software engineering or cyber security), mathematics, statistics, and engineering.</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Exceptionally applicants with qualifications that do not meet the requirements, but with considerable relevant professional experience will be considered if they can satisfy the Admissions Tutor of their motivation, evidence of their ability to work at this level and they are numerate.</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Overseas students are required to satisfy the Admissions Officer that they have reached an equivalent academic standard as those required for home students.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Language Requirements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 – minimum 6.5 overall, including a minimum of 6.0 in writing, and a minimum of 5.5 in reading, listening and speaking</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57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 – overall score of 88, inc min score of 20/30 Writing, 20/30 Reading, 17/30 Listening and 20/30 Speaking.</w:t>
                  </w:r>
                </w:p>
                <w:p w:rsidRPr="2030048C" w:rsidP="2030048C">
                  <w:pPr>
                    <w:ind w:left="57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also approved the following mapping as equivalent alternatives to IELTS requirements for entry into franchised programmes to be delivered at ESOFT in Sri Lanka;</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Local GCE O Level English language</w:t>
                  </w:r>
                  <w:r w:rsidRPr="2030048C">
                    <w:rPr>
                      <w:rStyle w:val="normaltextrun"/>
                      <w:rFonts w:ascii="Arial" w:eastAsia="Arial" w:hAnsi="Arial" w:cs="Arial"/>
                      <w:b w:val="0"/>
                      <w:bCs w:val="0"/>
                      <w:color w:val="000000"/>
                      <w:sz w:val="24"/>
                      <w:szCs w:val="24"/>
                      <w:shd w:val="clear" w:color="auto" w:fill="FFFFFF"/>
                    </w:rPr>
                    <w:t xml:space="preserve">: Credit, Distinction or Very good pass </w:t>
                  </w:r>
                </w:p>
                <w:p w:rsidRPr="2030048C" w:rsidP="2030048C">
                  <w:pPr>
                    <w:ind w:left="570"/>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English for Academic Purposes modules in reading, writing, listening and speaking</w:t>
                  </w:r>
                  <w:r w:rsidRPr="2030048C">
                    <w:rPr>
                      <w:rStyle w:val="normaltextrun"/>
                      <w:rFonts w:ascii="Arial" w:eastAsia="Arial" w:hAnsi="Arial" w:cs="Arial"/>
                      <w:b w:val="0"/>
                      <w:bCs w:val="0"/>
                      <w:color w:val="000000"/>
                      <w:sz w:val="24"/>
                      <w:szCs w:val="24"/>
                      <w:shd w:val="clear" w:color="auto" w:fill="FFFFFF"/>
                    </w:rPr>
                    <w:t xml:space="preserve">: results which equate to our normal entry conditions in the following ways (*NB: The overall grade to be an average of the four skills module results.) </w:t>
                  </w:r>
                </w:p>
                <w:tbl>
                  <w:tblPr>
                    <w:tblStyle w:val="Table"/>
                    <w:tblCellSpacing w:w="15" w:type="dxa"/>
                    <w:tblCellMar>
                      <w:top w:w="15" w:type="dxa"/>
                      <w:left w:w="15" w:type="dxa"/>
                      <w:bottom w:w="15" w:type="dxa"/>
                      <w:right w:w="15" w:type="dxa"/>
                    </w:tblCellMar>
                    <w:tblLook w:val="05E0"/>
                  </w:tblPr>
                  <w:tblGrid>
                    <w:gridCol w:w="1267"/>
                    <w:gridCol w:w="1400"/>
                  </w:tblGrid>
                  <w:tr>
                    <w:tblPrEx>
                      <w:tblLook w:val="05E0"/>
                    </w:tblPrEx>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tc>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w:t>
                        </w:r>
                      </w:p>
                    </w:tc>
                  </w:tr>
                  <w:tr>
                    <w:tblPrEx>
                      <w:tblLook w:val="05E0"/>
                    </w:tblPrEx>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6.5</w:t>
                        </w:r>
                      </w:p>
                    </w:tc>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58+</w:t>
                        </w:r>
                      </w:p>
                    </w:tc>
                  </w:tr>
                  <w:tr>
                    <w:tblPrEx>
                      <w:tblLook w:val="05E0"/>
                    </w:tblPrEx>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6.0 </w:t>
                        </w:r>
                      </w:p>
                    </w:tc>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50-57</w:t>
                        </w:r>
                      </w:p>
                    </w:tc>
                  </w:tr>
                  <w:tr>
                    <w:tblPrEx>
                      <w:tblLook w:val="05E0"/>
                    </w:tblPrEx>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5.5</w:t>
                        </w:r>
                      </w:p>
                    </w:tc>
                    <w:tc>
                      <w:tcPr>
                        <w:noWrap w:val="0"/>
                        <w:tcMar>
                          <w:top w:w="15" w:type="dxa"/>
                          <w:left w:w="15" w:type="dxa"/>
                          <w:bottom w:w="15" w:type="dxa"/>
                          <w:right w:w="15" w:type="dxa"/>
                        </w:tcMar>
                        <w:vAlign w:val="center"/>
                        <w:hideMark/>
                      </w:tcPr>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42-49</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4"/>
                      <w:szCs w:val="24"/>
                      <w:shd w:val="clear" w:color="auto" w:fill="FFFFFF"/>
                    </w:rPr>
                    <w:t>.</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sz w:val="24"/>
          <w:szCs w:val="24"/>
          <w:shd w:val="clear" w:color="auto" w:fill="FFFFFF"/>
        </w:rPr>
        <w:t>The Aims of the Field are to: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gain knowledge, skills and a critical appreciation of ICT-enabled strategic innovation</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make an informed assessment of commercial, legal, social and environmental implications of technical innovations.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the professional approach and outlook, and a set of transferable skills that will enable them to develop and exploit their knowledge and technical ability in the furtherance of their career.</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have the ability to apply specialised knowledge and skills to the analysis and solution of novel problems in commerce and the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justifyinnovative ICT solutions, and to demonstrate how they can</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supportive the strategy of entrepreneurial</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 xml:space="preserve">organisations. </w:t>
              <w:tab/>
              <w:t xml:space="preserve">B2 </w:t>
              <w:tab/>
              <w:t xml:space="preserve">Explain how technologists can interact with, and support the business aspirations of entrepreneurs and agile organisations. </w:t>
              <w:tab/>
              <w:t xml:space="preserve">C2 </w:t>
              <w:tab/>
              <w:t xml:space="preserve"> Use analytical models and frameworks as vehicles to initiate and sustain conversations between ICT and the business.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how technologists can interact with, and support the business aspirations of entrepreneurs and agile organisations.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effectively a wide range of methods, tools and techniques used to stimulate imaginative approaches to business issues, and to manage technology-enabled innovation.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and assess appropriate tools and technologies necessary for application design and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evaluate research in the chosen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analytical models and frameworks as vehicles to initiate and sustain conversations between ICT and the business.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current developments in</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technological innovation.</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in the domain of ICT innovation for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To design an information architecture to support the business strategy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respond to ethical, legal, environmental and professional issues in the design and development of an ICT enabled business development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Build upon the experience and responsibility gained as a result of the practical application of the skills acquired during the course to make a significant contribution as a computing or information systems professional within an organisation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To assess the quality of information and assess the effectiveness of the information management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Specify and design information architectures as appropriate and consider necessary trade-offs between centralised and distributed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To evaluate and select appropriate business analysis tools and development methodologies for an ICT-enabled business development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and demonstrate a systematic approach to problem 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made up of four taught modules each worth 30 credit points plus an individual project worth 60 credits. All students will be provided with the University Postgraduate Regulations.  Full details of each module is provided in module descriptors and via the VLE.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IT and Strategic Innovation</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IT and Strategic Innovation</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Agile Project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CI7600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Databases and Data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CI7320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IT and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CI7240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EMC may offer students additional optional opportunities for learning. Examples of these include industry visits and guest speakers.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2E74B5"/>
          <w:sz w:val="24"/>
          <w:szCs w:val="24"/>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color w:val="2E74B5"/>
          <w:sz w:val="24"/>
          <w:szCs w:val="24"/>
        </w:rPr>
        <w:t>ESOFT Student Council (ESC)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QAA Benchmark statement website:  </w:t>
      </w:r>
      <w:hyperlink r:id="rId12" w:history="1">
        <w:r w:rsidRPr="2030048C">
          <w:rPr>
            <w:rFonts w:ascii="Arial" w:eastAsia="Arial" w:hAnsi="Arial" w:cs="Arial"/>
            <w:sz w:val="24"/>
            <w:szCs w:val="24"/>
          </w:rPr>
          <w:t>http://www.qaa.ac.uk/en/Publications/Documents/SBS-Computing-16.pdf</w:t>
        </w:r>
      </w:hyperlink>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 xml:space="preserve">Professional or statutory body information:  </w:t>
      </w:r>
      <w:hyperlink r:id="rId13" w:history="1">
        <w:r w:rsidRPr="2030048C">
          <w:rPr>
            <w:rFonts w:ascii="Arial" w:eastAsia="Arial" w:hAnsi="Arial" w:cs="Arial"/>
            <w:sz w:val="24"/>
            <w:szCs w:val="24"/>
          </w:rPr>
          <w:t>http://www.bcs.org/</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CI7240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table" w:customStyle="1" w:styleId="MsoTableGrid">
    <w:name w:val="MsoTableGrid"/>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cs.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qaa.ac.uk/en/Publications/Documents/SBS-Computing-16.pdf"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C54EC7A-EF06-4795-985D-78570DA7D73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