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Robotics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03/05/2024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Electrical, Electronic and Robotic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Robotics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Robotics</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Robotics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PPRBT1RBT20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PFRBT1RBT20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Robotics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Robotics with Professional Experience</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Robotics with Professional Experience</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PFRBT1RBT99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Roehampton Vale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Engineering Council</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xml:space="preserve">To comply with Engineering Council regulations, a maximum of 20 credits may be compensated within this programme. As the programme includes both 30 and 15-credit modules, only one 15-credit module may be compensated.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main aims of the MSc Robotics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Provide a “period of further learning” which is a requirement for Chartered Engineer status for students with an accredited BEng.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Provide students with knowledge, skills, and a critical appreciation of the principles of operation and the main of electronics, robotics, and artificial intelligence (AI) systems. This encompasses expertise in control systems for robotics, modeling and simulation of electronic and robotic devices, image and signal processing, utilisation of AI techniques, and proficiency in embedded software engineering.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Provide students with the ability of conceiving, designing, prototyping, and producing creative electronics and robotics systems solutions.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Provide students with the professional attitudes, entrepreneurial spirit, and many transferable skills necessary to develop and exploit their technical abilities in the furtherance of their careers within the evolving robotic systems industry.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Adopt a disciplined engineering approach and sound practical skills in the development and deployment of robotic systems using modern engineering design tools, methods, and standards.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Acquire specialised knowledge and skills in selected areas of robotics. For example, machine learning, modelling and simulation, and embedded electronics.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Demonstrate an understanding of the major technical, economic, environmental, and societal impact factors, as well as organizational considerations, which guide the design, implementation, and management of complex robotic systems.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Practice the theoretical concepts and knowledge acquired using the taught modules in a substantial research or industrial based project.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Initiate, plan, and sustain a disciplined personal effort with academic rigour during the project, leading to an original, individual, and innovative academic dissertation.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of the current developments in robotics in a variety of application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think logically and critically, and demonstrate a systematic approach to problem-analysis and to finding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implement and test the major components required for a practical robotic system for applications such as manufacturing, healthcare, and automation.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and deploy robotic systems showing a detailed understanding of principles and practical techniques of modelling and simulation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evaluate, and communicate research in the chosen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Analyse and specify user requirements for robotic systems.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on the ethical legal and professional issues in the deployment of robotic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and trends in the areas of electronic, artificial intelligence software and control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Express jointly electronic, software and AI designs using a standard notation and to select and apply a suitable software to coordinate the development and deployment of robotic systems.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pStyle w:val="02body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Robotics</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Robotics</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Electronics and Robotics Integration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ER7001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Human Robot Interaction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ME7028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Industrial Robotics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ME7737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Machine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ME7026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Techniques, Innovation &amp; Sustainability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Sensors, Actuators and Embedded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ER7002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Robotics with Professional Placement</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Robotics with Professional Placement</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629"/>
        <w:gridCol w:w="341"/>
        <w:gridCol w:w="861"/>
        <w:gridCol w:w="886"/>
        <w:gridCol w:w="886"/>
        <w:gridCol w:w="886"/>
        <w:gridCol w:w="886"/>
        <w:gridCol w:w="861"/>
        <w:gridCol w:w="886"/>
        <w:gridCol w:w="88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ME7737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ME7028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ME7900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ME7026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02bodytext">
    <w:name w:val="02body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297C05-16CC-4D8B-A076-39D5195DC378}"/>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