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Construction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14/12/2012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(PgDip) Construction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(PgCert) – Construction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PPCMG1CMG20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PFCMG1CMG20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Construction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Construction Management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Construction Management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PFCMG1CMG99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both pathways, Management in Construction and Management in Construction with Civil Engineering, the courses are accredited by Chartered Institute of Building (</w:t>
                  </w:r>
                  <w:hyperlink r:id="rId9" w:history="1">
                    <w:r w:rsidRPr="2030048C">
                      <w:rPr>
                        <w:rStyle w:val="normaltextrun"/>
                        <w:rFonts w:ascii="Arial" w:eastAsia="Arial" w:hAnsi="Arial" w:cs="Arial"/>
                        <w:b w:val="0"/>
                        <w:bCs w:val="0"/>
                        <w:color w:val="000000"/>
                        <w:sz w:val="24"/>
                        <w:szCs w:val="24"/>
                        <w:shd w:val="clear" w:color="auto" w:fill="FFFFFF"/>
                      </w:rPr>
                      <w:t>CIOB</w:t>
                    </w:r>
                  </w:hyperlink>
                  <w:r w:rsidRPr="2030048C">
                    <w:rPr>
                      <w:rStyle w:val="normaltextrun"/>
                      <w:rFonts w:ascii="Arial" w:eastAsia="Arial" w:hAnsi="Arial" w:cs="Arial"/>
                      <w:b w:val="0"/>
                      <w:bCs w:val="0"/>
                      <w:color w:val="000000"/>
                      <w:sz w:val="24"/>
                      <w:szCs w:val="24"/>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pathway Management in Construction with Civil Engineering, the degree is accredited by the Joint Board of Moderators (</w:t>
                  </w:r>
                  <w:hyperlink r:id="rId10"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 Chartered Engineer (CEng).</w:t>
                  </w:r>
                </w:p>
              </w:tc>
            </w:tr>
          </w:tbl>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Yes, we have approved variants required to meet the new Engineering Council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t>
            </w:r>
            <w:hyperlink r:id="rId11" w:tgtFrame="_blank" w:history="1">
              <w:r w:rsidRPr="158602C4">
                <w:rPr>
                  <w:rStyle w:val="normaltextrun"/>
                  <w:rFonts w:ascii="Arial" w:eastAsia="Arial" w:hAnsi="Arial" w:cs="Arial"/>
                  <w:b w:val="0"/>
                  <w:bCs w:val="0"/>
                  <w:color w:val="000000" w:themeColor="text1" w:themeShade="FF" w:themeTint="FF"/>
                  <w:sz w:val="24"/>
                  <w:szCs w:val="24"/>
                </w:rPr>
                <w:t>compensation-and-condonement-policy</w:t>
              </w:r>
            </w:hyperlink>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allow 4 x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 detailed advanced knowledge and understanding of construction management practices and procedures relating to the successful delivery construction projects;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Allow graduates to acquire interpersonal, design thinking, system thinking complex problem-solving, business and subject-specific skills and the ability to analyse, evaluate, judge and critically reflect upon issues in the management of construction projects;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furnish graduates with key graduate attributes such as problem-solving, communication, digital competency, adaptability in addition to firmly grasp of sustainability and Health and Safety risk management, professionalism, ethics and inclusion practice principles;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graduates with research and investigative skills and a critical and research-oriented approach to the study of management techniques related to the construction industry, significantly enhancing their career opportunities;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an opportunity to those in full-time employment to study on a part-time basis and to create a unique and dynamic educational environment that seeks to benefit from the practical experience of both mature and part-time students;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with Professional Placement an opportunity to develop and practice skills, acquired knowledge in the workplace.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digital Technologies, software and tools in the construction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degree with professional placement will additionally be able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Construction and Built Environment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Advise on the appropriate procurement route, the evaluation of tender returns and the conversion of an estimate into a tender (MSc Management in Construction and MSc Management in Construction (Civil Engineering)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skills including communication, time management, motivation, planning and programming of work, setting of market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a business, identify problems, needs or challenges and apply the appropriate skills and solutions to maximise profits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contract administration and its importance and relevance to both construction contracts and managerial responsibilities in the execution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legal and contractual duties of the various parties to the construction contract, advise and provide recommendations on contractual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Financial management practices including budgeting, accounting, project appraisal and cash flow forecasting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investment appraisals, interpret company accounts, prepare cash flow statements, understand principles of taxation regimes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Procurement strategies, estimating &amp; tendering procedures and controlling cost of projects (MSc Management in Construction and MSc Management in Construction (Civil Engineering)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of digital technologies to support interdisciplinary collaborative working in the construction management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4"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6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Construction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Administration of Construction Contract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Estimating, Tendering and Procurement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Obligations and Regulatory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Construction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Construction Management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hyperlink r:id="rId9" w:history="1">
        <w:r w:rsidRPr="2030048C">
          <w:rPr>
            <w:rFonts w:ascii="Arial" w:eastAsia="Arial" w:hAnsi="Arial" w:cs="Arial"/>
            <w:sz w:val="24"/>
            <w:szCs w:val="24"/>
          </w:rPr>
          <w:t>https://www.ciob.org/</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73"/>
        <w:gridCol w:w="350"/>
        <w:gridCol w:w="884"/>
        <w:gridCol w:w="884"/>
        <w:gridCol w:w="884"/>
        <w:gridCol w:w="884"/>
        <w:gridCol w:w="884"/>
        <w:gridCol w:w="884"/>
        <w:gridCol w:w="884"/>
        <w:gridCol w:w="79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engc.org.uk/media/3844/compensation-and-condonement-policy-2021.pdf"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hyperlink" Target="https://jbm.org.uk/" TargetMode="External"/><Relationship Id="rId14"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hyperlink" Target="https://www.ciob.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15272D1-A14A-4524-BD0C-3F08B3E99A8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