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Civil Engineering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Civil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Civil Engineering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course is accredited by the Joint Board of Moderators (JBM)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 Chartered Engineer (CEng).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of the course is to ensure that graduates are well-prepared to tackle the current and future challenges in the field of civil engineering and contribute positively to society: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Understanding and Analysing Civil Structures:</w:t>
      </w:r>
      <w:r w:rsidRPr="2030048C">
        <w:rPr>
          <w:rStyle w:val="normaltextrun"/>
          <w:rFonts w:ascii="Arial" w:hAnsi="Arial" w:cs="Arial"/>
          <w:color w:val="000000" w:themeColor="text1"/>
          <w:sz w:val="24"/>
          <w:szCs w:val="24"/>
          <w:shd w:val="clear" w:color="auto" w:fill="FFFFFF"/>
        </w:rPr>
        <w:t xml:space="preserve"> Graduates will be able to understand and analyse the mechanics, dynamics, design, and construction of various civil structures, with a particular focus on concrete and steel structures.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Designing Sustainable Solutions:</w:t>
      </w:r>
      <w:r w:rsidRPr="2030048C">
        <w:rPr>
          <w:rStyle w:val="normaltextrun"/>
          <w:rFonts w:ascii="Arial" w:hAnsi="Arial" w:cs="Arial"/>
          <w:color w:val="000000" w:themeColor="text1"/>
          <w:sz w:val="24"/>
          <w:szCs w:val="24"/>
          <w:shd w:val="clear" w:color="auto" w:fill="FFFFFF"/>
        </w:rPr>
        <w:t xml:space="preserve"> Graduates will be equipped to design and implement innovative, sustainable solutions for complex structural, transport, offshore, coastal, hydraulic, and geotechnical engineering problems, incorporating digital technologies and construction modelling tools.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Project Management Skills:</w:t>
      </w:r>
      <w:r w:rsidRPr="2030048C">
        <w:rPr>
          <w:rStyle w:val="normaltextrun"/>
          <w:rFonts w:ascii="Arial" w:hAnsi="Arial" w:cs="Arial"/>
          <w:color w:val="000000" w:themeColor="text1"/>
          <w:sz w:val="24"/>
          <w:szCs w:val="24"/>
          <w:shd w:val="clear" w:color="auto" w:fill="FFFFFF"/>
        </w:rPr>
        <w:t xml:space="preserve"> Graduates will develop the skills necessary for the management and implementation of complex civil engineering projects, including the administration of construction contracts and the management of project risk, quality, and safety.</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Research and Analytical Skills:</w:t>
      </w:r>
      <w:r w:rsidRPr="2030048C">
        <w:rPr>
          <w:rStyle w:val="normaltextrun"/>
          <w:rFonts w:ascii="Arial" w:hAnsi="Arial" w:cs="Arial"/>
          <w:color w:val="000000" w:themeColor="text1"/>
          <w:sz w:val="24"/>
          <w:szCs w:val="24"/>
          <w:shd w:val="clear" w:color="auto" w:fill="FFFFFF"/>
        </w:rPr>
        <w:t xml:space="preserve"> Graduates will be able to design and conduct original research, involving the development of research questions, methodologies, and the collection and analysis of data, culminating in a dissertation and research project.</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Professional and Ethical Responsibilities:</w:t>
      </w:r>
      <w:r w:rsidRPr="2030048C">
        <w:rPr>
          <w:rStyle w:val="normaltextrun"/>
          <w:rFonts w:ascii="Arial" w:hAnsi="Arial" w:cs="Arial"/>
          <w:color w:val="000000" w:themeColor="text1"/>
          <w:sz w:val="24"/>
          <w:szCs w:val="24"/>
          <w:shd w:val="clear" w:color="auto" w:fill="FFFFFF"/>
        </w:rPr>
        <w:t xml:space="preserve"> Graduates will understand the responsibilities of their profession and develop skills necessary for maintaining high ethical standards in professional practice, including effective teamwork and collaboration in group design projects.</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Incorporating digital technologies and construction modelling tools in designing and implementing civil engineering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evaluation and future proofing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practical skills in utilising advanced digital technologies and construction modelling tools, such as Building Information Modelling (BIM) and other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substructures and foundations.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critically review solutions to substructures and foundations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leadership skills including communication, time management, motivation, planning and programming of work, setting of market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a project, identify problems, needs or challenges and apply the appropriate skills and solutions to maximise benefits to clients and society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procurement strategies, estimating &amp; tendering procedures and controlling cost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Advise on the appropriate procurement route, the evaluation of tender returns and the conversion of an estimate into a tender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project management tools and techniques to assess risk and control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analysis of concrete and steel structures using advanced methods and up-to-date design codes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implement innovative, sustainable solutions for civil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the conceptual &amp; detailed design of modern structures in concrete or steel using state-of-the-art design techniques and up-to-date design codes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degree with professional placement will additionally be able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Civil Engineering.</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Students opting for a degree with professional placement will additionally be able to:</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Civil Engineering 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Steel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 Design of Substructures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Support for Professional placement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r w:rsidRPr="2030048C">
        <w:rPr>
          <w:rFonts w:ascii="Arial" w:eastAsia="Arial" w:hAnsi="Arial" w:cs="Arial"/>
          <w:sz w:val="22"/>
          <w:szCs w:val="22"/>
        </w:rPr>
        <w:t xml:space="preserve"> </w:t>
      </w:r>
      <w:r w:rsidRPr="2030048C">
        <w:rPr>
          <w:rFonts w:ascii="Arial" w:eastAsia="Arial" w:hAnsi="Arial" w:cs="Arial"/>
          <w:sz w:val="24"/>
          <w:szCs w:val="24"/>
        </w:rPr>
        <w:t>​The Postgraduate Taught Experience Survey (PTES)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21"/>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JBM Guidelines for MSc and Doctoral Programmes (Updated to reflect AHEP4 requirements)</w:t>
        </w:r>
      </w:hyperlink>
    </w:p>
    <w:p w:rsidRPr="2030048C" w:rsidP="2030048C">
      <w:pPr>
        <w:numPr>
          <w:ilvl w:val="0"/>
          <w:numId w:val="21"/>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benchmarks for Engineering (March 2023)</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18"/>
        <w:gridCol w:w="367"/>
        <w:gridCol w:w="927"/>
        <w:gridCol w:w="927"/>
        <w:gridCol w:w="927"/>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subject-benchmark-statement-engineerin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jbm.org.uk/media/yy3p4kzk/jbm-guidlines-for-msc-and-programmes-of-ceng-further-learning-fl-_ahep4.pdf"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E98D6A7-C8FF-4A9E-8DC4-FE8BB8D68A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