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Civil and Environmental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and Environmental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Civil and Environmental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Civil and Environmental Engineering</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and Environmental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Civil and Environmental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Civil and Environmental Engineering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This degree is accredited by the Joint Board of Moderators (</w:t>
            </w:r>
            <w:hyperlink r:id="rId9" w:tgtFrame="_blank" w:history="1">
              <w:r w:rsidRPr="2030048C">
                <w:rPr>
                  <w:rStyle w:val="normaltextrun"/>
                  <w:rFonts w:ascii="Arial" w:eastAsia="Arial" w:hAnsi="Arial" w:cs="Arial"/>
                  <w:b w:val="0"/>
                  <w:bCs w:val="0"/>
                  <w:color w:val="000000"/>
                  <w:sz w:val="24"/>
                  <w:szCs w:val="24"/>
                  <w:shd w:val="clear" w:color="auto" w:fill="FFFFFF"/>
                </w:rPr>
                <w:t>JBM</w:t>
              </w:r>
            </w:hyperlink>
            <w:r w:rsidRPr="2030048C">
              <w:rPr>
                <w:rStyle w:val="normaltextrun"/>
                <w:rFonts w:ascii="Arial" w:eastAsia="Arial" w:hAnsi="Arial" w:cs="Arial"/>
                <w:b w:val="0"/>
                <w:bCs w:val="0"/>
                <w:color w:val="000000"/>
                <w:sz w:val="24"/>
                <w:szCs w:val="24"/>
                <w:shd w:val="clear" w:color="auto" w:fill="FFFFFF"/>
              </w:rPr>
              <w:t>) comprising of the Institution of Civil Engineers, Institution of Structural Engineers, Institute of Highway Engineers, the Chartered Institution of Highways and Transportation and the Permanent Way Institution on behalf of the Engineering Council as meeting the academic requirement for Further Learning for registration as a Chartered Engineer (CEng). To hold accredited qualifications for CEng registration, candidates must also hold a Bachelor (Hons) degree that has been accredited as partially meeting the academic requirement for registration as a Chartered Engineer (CEng).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val="0"/>
                <w:bCs w:val="0"/>
                <w:color w:val="000000" w:themeColor="text1" w:themeShade="FF" w:themeTint="FF"/>
                <w:sz w:val="20"/>
                <w:szCs w:val="20"/>
              </w:rPr>
            </w:pPr>
          </w:p>
          <w:p w:rsidR="5D711985" w:rsidRPr="158602C4" w:rsidP="158602C4">
            <w:pPr>
              <w:pStyle w:val="p"/>
              <w:widowControl w:val="0"/>
              <w:shd w:val="clear" w:color="auto" w:fill="FFFFFE"/>
              <w:spacing w:before="0" w:beforeAutospacing="0" w:after="0" w:afterAutospacing="0" w:line="285" w:lineRule="auto"/>
              <w:ind w:left="720" w:right="0"/>
              <w:rPr>
                <w:rStyle w:val="normaltextrun"/>
                <w:rFonts w:ascii="Times New Roman" w:eastAsia="Times New Roman" w:hAnsi="Times New Roman" w:cs="Times New Roman"/>
                <w:b w:val="0"/>
                <w:bCs w:val="0"/>
                <w:color w:val="000000" w:themeColor="text1" w:themeShade="FF" w:themeTint="FF"/>
                <w:sz w:val="20"/>
                <w:szCs w:val="20"/>
              </w:rPr>
            </w:pPr>
            <w:r w:rsidRPr="158602C4">
              <w:rPr>
                <w:rStyle w:val="normaltextrun"/>
                <w:rFonts w:ascii="Arial" w:eastAsia="Arial" w:hAnsi="Arial" w:cs="Arial"/>
                <w:b w:val="0"/>
                <w:bCs w:val="0"/>
                <w:color w:val="000000" w:themeColor="text1" w:themeShade="FF" w:themeTint="FF"/>
                <w:sz w:val="20"/>
                <w:szCs w:val="20"/>
                <w:u w:val="single"/>
              </w:rPr>
              <w:t>Not applicable</w:t>
            </w:r>
          </w:p>
          <w:p w:rsidR="5D711985" w:rsidRPr="158602C4" w:rsidP="158602C4">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Produce graduates with a detailed advanced knowledge and understanding of structural engineering of reinforced concrete structures and coastal and flood defence systems;</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Examine environmental, social, and economic principles of sustainability relevant to design and construction of common construction materials;</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Graduates will develop the skills necessary for the management and implementation of complex civil engineering projects, including the administration of construction contracts and the management of project risk, quality, and safety;</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furnish graduates with key graduate attributes such as problem-solving, communication, digital competency, adaptability in addition to firmly grasp of sustainability and Health and Safety risk management, professionalism, ethics and inclusion practice principles;</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graduates with research and investigative skills and a critical and research-oriented approach to the study of management techniques related to the construction industry, significantly enhancing their career opportunities;</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Give students with Professional Placement an opportunity to develop and practice skills, acquired knowledge in the workplace;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Advanced methods in the design of reinforced concrete structures.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the conceptual &amp; detailed design of modern structures in concrete using state-of-the- art design techniques and up-to- date design codes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Knowledge of coastal processes, including erosion, sediment transport, and shoreline dynamics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design, construction, and maintenance of coastal and flood defence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Project management tools and techniques including risk, health &amp; safety and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so as to resolve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project management tools and techniques to assess risk and control quality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Principles of sustainability relevant to design and construction of common construction materials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originally, creatively and imaginatively to solve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Analyse, evaluate and reflect upon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issues of sustainable materials and structural design.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Incorporating digital technologies and construction modelling tools in designing and implementing civil engineering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critical literature review and, design &amp;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Effectively work as part of an engineering design team to produce a solution to a real-world engineering design problem communicating ideas at the level expected of a graduate engineer.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leadership skills including communication, time management, motivation, planning and programming of work, setting of market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The ability to draw on knowledge and expertise from different disciplines to solve complex problems and understand and appreciate the interconnectedness of different systems and how they interact.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Students opting for a degree with professional placement will additionally be able to: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Transcribe and apply the experiences of the practical work-based environment to academic study and chosen career aspirations.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a degree with professional placement will additionally be able to: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practical work-based environment to the academic study of Civil Engineering</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2"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and Environmental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and Environmental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Civil Engineering Group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Coastal and Flood Defence System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Concrete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Sustainable Construction Methods and Materials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and Environmental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r w:rsidRPr="2030048C">
        <w:rPr>
          <w:rFonts w:ascii="Arial" w:eastAsia="Arial" w:hAnsi="Arial" w:cs="Arial"/>
          <w:sz w:val="22"/>
          <w:szCs w:val="22"/>
        </w:rPr>
        <w:t xml:space="preserve"> </w:t>
      </w:r>
      <w:r w:rsidRPr="2030048C">
        <w:rPr>
          <w:rFonts w:ascii="Arial" w:eastAsia="Arial" w:hAnsi="Arial" w:cs="Arial"/>
          <w:sz w:val="24"/>
          <w:szCs w:val="24"/>
        </w:rPr>
        <w:t>​The Postgraduate Taught Experience Survey (PTES)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ind w:left="570"/>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22"/>
        </w:numPr>
        <w:ind w:left="720" w:hanging="360"/>
        <w:jc w:val="left"/>
        <w:rPr>
          <w:rFonts w:ascii="Arial" w:eastAsia="Arial" w:hAnsi="Arial" w:cs="Arial"/>
          <w:sz w:val="24"/>
          <w:szCs w:val="24"/>
        </w:rPr>
      </w:pPr>
      <w:hyperlink r:id="rId13" w:history="1">
        <w:r w:rsidRPr="2030048C">
          <w:rPr>
            <w:rFonts w:ascii="Arial" w:eastAsia="Arial" w:hAnsi="Arial" w:cs="Arial"/>
            <w:sz w:val="24"/>
            <w:szCs w:val="24"/>
          </w:rPr>
          <w:t>JBM Guidelines for MSc and Doctoral Programmes (Updated to reflect AHEP4 requirements)</w:t>
        </w:r>
      </w:hyperlink>
    </w:p>
    <w:p w:rsidRPr="2030048C" w:rsidP="2030048C">
      <w:pPr>
        <w:numPr>
          <w:ilvl w:val="0"/>
          <w:numId w:val="22"/>
        </w:numPr>
        <w:ind w:left="720" w:hanging="360"/>
        <w:jc w:val="left"/>
        <w:rPr>
          <w:rFonts w:ascii="Arial" w:eastAsia="Arial" w:hAnsi="Arial" w:cs="Arial"/>
          <w:sz w:val="24"/>
          <w:szCs w:val="24"/>
        </w:rPr>
      </w:pPr>
      <w:hyperlink r:id="rId14" w:history="1">
        <w:r w:rsidRPr="2030048C">
          <w:rPr>
            <w:rFonts w:ascii="Arial" w:eastAsia="Arial" w:hAnsi="Arial" w:cs="Arial"/>
            <w:sz w:val="24"/>
            <w:szCs w:val="24"/>
          </w:rPr>
          <w:t>QAA subject benchmarks for Engineering (March 2023)</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018"/>
        <w:gridCol w:w="367"/>
        <w:gridCol w:w="927"/>
        <w:gridCol w:w="927"/>
        <w:gridCol w:w="927"/>
        <w:gridCol w:w="927"/>
        <w:gridCol w:w="927"/>
        <w:gridCol w:w="927"/>
        <w:gridCol w:w="9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bm.org.uk/media/yy3p4kzk/jbm-guidlines-for-msc-and-programmes-of-ceng-further-learning-fl-_ahep4.pdf"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kingston.ac.uk/aboutkingstonuniversity/howtheuniversityworks/policiesandregulations/"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hyperlink" Target="https://www.qaa.ac.uk/the-quality-code/subject-benchmark-statements/subject-benchmark-statement-engineering" TargetMode="External"/><Relationship Id="rId4" Type="http://schemas.openxmlformats.org/officeDocument/2006/relationships/customXml" Target="../customXml/item1.xml"/><Relationship Id="rId9" Type="http://schemas.openxmlformats.org/officeDocument/2006/relationships/hyperlink" Target="https://jbm.org.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8BB144A-2EB0-4EE9-A6FC-4C852ABDA88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