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MA</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Game Development (Design)</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01/01/2012</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11/02/2026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01/09/2025</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10</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Computer Science and Mathematics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Computer Science</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(Design)</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Game Development (Design)</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Game Development (Design)</w:t>
            </w:r>
          </w:p>
          <w:p w:rsidR="72431AC7" w:rsidP="2030048C" w14:paraId="7ABC1166" w14:textId="7E0F963D">
            <w:pPr>
              <w:rPr>
                <w:rFonts w:ascii="Arial" w:eastAsia="Arial" w:hAnsi="Arial" w:cs="Arial"/>
                <w:b w:val="0"/>
                <w:bCs w:val="0"/>
                <w:sz w:val="24"/>
                <w:szCs w:val="24"/>
                <w:lang w:val="en-GB"/>
              </w:rPr>
            </w:pP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PPGDD1GDD01</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PFGDD1GDD01</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G400/G401</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Game Development (Design)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PGCert Game Development (Design)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PGDip Game Development (Design) with Professional Placement</w:t>
            </w:r>
          </w:p>
          <w:p w:rsidR="72431AC7" w:rsidP="2030048C" w14:textId="7E0F963D">
            <w:pPr>
              <w:rPr>
                <w:rFonts w:ascii="Arial" w:eastAsia="Arial" w:hAnsi="Arial" w:cs="Arial"/>
                <w:b w:val="0"/>
                <w:bCs w:val="0"/>
                <w:sz w:val="24"/>
                <w:szCs w:val="24"/>
                <w:lang w:val="en-GB"/>
              </w:rPr>
            </w:pP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PFGDD1GDD99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Category 1: Primarily in person (0-20%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i/>
                <w:iCs/>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u w:val="single"/>
              </w:rPr>
              <w:t>Compensation of the project module</w:t>
            </w: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Compensation is not permitted for</w:t>
            </w:r>
            <w:r w:rsidRPr="158602C4">
              <w:rPr>
                <w:rStyle w:val="normaltextrun"/>
                <w:rFonts w:ascii="Arial" w:eastAsia="Arial" w:hAnsi="Arial" w:cs="Arial"/>
                <w:b w:val="0"/>
                <w:bCs w:val="0"/>
                <w:color w:val="000000" w:themeColor="text1" w:themeShade="FF" w:themeTint="FF"/>
                <w:sz w:val="24"/>
                <w:szCs w:val="24"/>
              </w:rPr>
              <w:t xml:space="preserve"> the following module</w:t>
            </w:r>
            <w:r w:rsidRPr="158602C4">
              <w:rPr>
                <w:rStyle w:val="normaltextrun"/>
                <w:rFonts w:ascii="Arial" w:eastAsia="Arial" w:hAnsi="Arial" w:cs="Arial"/>
                <w:b w:val="0"/>
                <w:bCs w:val="0"/>
                <w:color w:val="000000" w:themeColor="text1" w:themeShade="FF" w:themeTint="FF"/>
                <w:sz w:val="24"/>
                <w:szCs w:val="24"/>
              </w:rPr>
              <w:t>:</w:t>
            </w:r>
          </w:p>
          <w:p w:rsidR="5D711985" w:rsidRPr="158602C4" w:rsidP="158602C4">
            <w:pPr>
              <w:numPr>
                <w:ilvl w:val="0"/>
                <w:numId w:val="12"/>
              </w:numPr>
              <w:shd w:val="clear" w:color="auto" w:fill="FFFFFE"/>
              <w:spacing w:before="0" w:beforeAutospacing="0" w:after="0" w:afterAutospacing="0" w:line="285" w:lineRule="auto"/>
              <w:ind w:left="720" w:right="0" w:hanging="360"/>
              <w:jc w:val="left"/>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CI6300 Individual Project</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 </w:t>
            </w:r>
          </w:p>
          <w:p w:rsidR="5D711985" w:rsidRPr="158602C4" w:rsidP="158602C4">
            <w:pPr>
              <w:shd w:val="clear" w:color="auto" w:fill="FFFFFE"/>
              <w:spacing w:before="0" w:beforeAutospacing="0" w:after="0" w:afterAutospacing="0" w:line="285" w:lineRule="auto"/>
              <w:ind w:left="72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0"/>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i/>
          <w:iCs/>
          <w:color w:val="000000" w:themeColor="text1"/>
          <w:sz w:val="24"/>
          <w:szCs w:val="24"/>
          <w:shd w:val="clear" w:color="auto" w:fill="FFFFFF"/>
        </w:rPr>
        <w:t> </w:t>
      </w:r>
    </w:p>
    <w:p w:rsidRPr="2030048C" w:rsidP="2030048C">
      <w:pPr>
        <w:pStyle w:val="paragraph0CxSpFir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significant aspect of study on this course is its articulation with other taught Masters courses as part of Digital Media Kingston (DMK), a Post Graduate Micro-Studio that offers PlayStation/Next Gen games development alongside computer animation and user experience design. This provides an integrated learning environment where students can develop their media specialist practice as part of a community engaged in interdisciplinary collaborative innovation.    </w:t>
      </w:r>
    </w:p>
    <w:p w:rsidRPr="2030048C" w:rsidP="2030048C">
      <w:pPr>
        <w:pStyle w:val="paragraph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Masters in Game Development encourages students to devise and participate in projects where they can develop as a games programmer or games designer whilst emphasising research informed industry focussed practice. Each subject pathway provides an intensive period of study that is made up of both course-specific modules and shared core modules within DMKs Postgraduate Framework. Our goal is to help students develop the critical thinking and the understanding of interdisciplinarity that will underpin their practice in the future. </w:t>
      </w:r>
    </w:p>
    <w:p w:rsidRPr="2030048C" w:rsidP="2030048C">
      <w:pPr>
        <w:pStyle w:val="paragraph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skills and knowledge gained will provide students with a firm foundation from which to undertake digital media research and are a platform for their personal and professional development in the practice of game development. It provides both a progression point towards the MA and MSc and is also an exit point from the course. Both the MA and MSc builds on the skills, knowledge and understanding acquired earlier in the Postgraduate Diploma phase and applies these in the creation of an original, digital media practical research project. The programme acknowledges students’ previous experience and that their study will continue to develop their personal approach to media practice. This will enable them to prepare for future employment or to engage in the extension of their study at Doctoral level. </w:t>
      </w:r>
    </w:p>
    <w:p w:rsidRPr="2030048C" w:rsidP="2030048C">
      <w:pPr>
        <w:pStyle w:val="paragraph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Masters Programme is offered in both full time and part time modes. The School has an excellent and proud history of employment both in large international companies and in UK based small and medium sized (SME) industries. The curriculum is backed by the research undertaken within the School. In addition it is informed by the School’s Industrial Advisory Panel.  </w:t>
      </w:r>
    </w:p>
    <w:p w:rsidRPr="2030048C" w:rsidP="2030048C">
      <w:pPr>
        <w:pStyle w:val="paragraph0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Game Development is one of the programmes within a suite of degrees being created as part of the Digital Media Kingston (DMK). The DMK brings together people with expertise in computer animation, games design, game development, user interfaces and other areas relating to digital media thus creating a rich environment where arts and computing students have the opportunity to work together. Considerable emphasis is placed on practical laboratory-based workshops and project work using specialist equipment. The software and hardware has been selected to be relevant to industry, such as the development on the same games consoles/development kit which would be used by professional games coders. Each of the pathways of Game Development is aligned to an industry role.</w:t>
      </w:r>
    </w:p>
    <w:p w:rsidRPr="2030048C" w:rsidP="2030048C">
      <w:pPr>
        <w:pStyle w:val="p0CxSpFir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b/>
          <w:bCs/>
          <w:color w:val="000000"/>
          <w:sz w:val="22"/>
          <w:szCs w:val="22"/>
          <w:shd w:val="clear" w:color="auto" w:fill="FFFFFF"/>
        </w:rPr>
        <w:t xml:space="preserve">MA in Game Development (Design) focuses upon </w:t>
      </w:r>
      <w:r w:rsidRPr="2030048C">
        <w:rPr>
          <w:rStyle w:val="normaltextrun"/>
          <w:rFonts w:ascii="Arial" w:hAnsi="Arial" w:cs="Arial"/>
          <w:color w:val="000000"/>
          <w:sz w:val="22"/>
          <w:szCs w:val="22"/>
          <w:shd w:val="clear" w:color="auto" w:fill="FFFFFF"/>
        </w:rPr>
        <w:t>the design and development of 2D and 3D computer games using industry standard tools and practices. Students will be able to design for a number of platforms including games consoles, PCs and mobile devices. The course covers the principles, practices and processes of games design.</w:t>
      </w:r>
    </w:p>
    <w:p w:rsidRPr="2030048C" w:rsidP="2030048C">
      <w:pPr>
        <w:pStyle w:val="p0CxSpMiddle"/>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Optional: Each of the pathways is offered with a Professional Placement. This option is to spend an additional year in industry as part of the course. The placement year is a 10 to 12 months period with 30-40 working hours per week with no more than 60 days ‘inactivity’. The placement must be in a company and the work must be relevant to the degree. It could be either in the UK or abroad and has to be approved by the Faculty. The professional placement route is for full time students and is not available to January starters.</w:t>
      </w:r>
    </w:p>
    <w:p w:rsidRPr="2030048C" w:rsidP="2030048C">
      <w:pPr>
        <w:pStyle w:val="p0CxSpLast"/>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Finding the placement is the responsibility of the individual students. If students do not find a suitable placement they will be switched onto the non-placement course.</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cell"/>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 xml:space="preserve">The Aims of the Course are to: </w:t>
      </w:r>
    </w:p>
    <w:p w:rsidRPr="2030048C" w:rsidP="2030048C">
      <w:pPr>
        <w:pStyle w:val="MediumGrid1-Accent21"/>
        <w:ind w:left="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3"/>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Equip students with the capability to use and employ tools, frameworks, models and rules relevant to game development;</w:t>
      </w:r>
    </w:p>
    <w:p w:rsidRPr="2030048C" w:rsidP="2030048C">
      <w:pPr>
        <w:pStyle w:val="ListParagraph"/>
        <w:numPr>
          <w:ilvl w:val="0"/>
          <w:numId w:val="13"/>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Enhance a student’s job performance and enable him/her to contribute effectively to the knowledge base of the employer;</w:t>
      </w:r>
    </w:p>
    <w:p w:rsidRPr="2030048C" w:rsidP="2030048C">
      <w:pPr>
        <w:pStyle w:val="ListParagraph"/>
        <w:numPr>
          <w:ilvl w:val="0"/>
          <w:numId w:val="13"/>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Give students the means to explore in detail the analysis, design and evaluation of computer games;</w:t>
      </w:r>
    </w:p>
    <w:p w:rsidRPr="2030048C" w:rsidP="2030048C">
      <w:pPr>
        <w:pStyle w:val="ListParagraph"/>
        <w:numPr>
          <w:ilvl w:val="0"/>
          <w:numId w:val="14"/>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an enquiring, analytical and creative approach to both personal and professional activities that leads to the critical and responsible use of informed and independent judgement.</w:t>
      </w:r>
    </w:p>
    <w:p w:rsidRPr="2030048C" w:rsidP="2030048C">
      <w:pPr>
        <w:pStyle w:val="ListParagraph"/>
        <w:numPr>
          <w:ilvl w:val="0"/>
          <w:numId w:val="15"/>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Gain a solid foundation in this specialist area, adding to and integrating, the knowledge and skills gained from each student’s individual educational background and work experience;</w:t>
      </w:r>
    </w:p>
    <w:p w:rsidRPr="2030048C" w:rsidP="2030048C">
      <w:pPr>
        <w:pStyle w:val="ListParagraph"/>
        <w:numPr>
          <w:ilvl w:val="0"/>
          <w:numId w:val="15"/>
        </w:numPr>
        <w:ind w:left="1275"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Explore disciplinary boundaries, resolve value conflicts and bridge gaps in knowledge with arguments from first principle and activity at the forefront of best practice.</w:t>
      </w:r>
    </w:p>
    <w:p w:rsidRPr="2030048C" w:rsidP="2030048C">
      <w:pPr>
        <w:pStyle w:val="ListParagraph"/>
        <w:numPr>
          <w:ilvl w:val="0"/>
          <w:numId w:val="15"/>
        </w:numPr>
        <w:ind w:left="1830" w:hanging="915"/>
        <w:jc w:val="both"/>
        <w:rPr>
          <w:rStyle w:val="normaltextrun"/>
          <w:rFonts w:ascii="Arial" w:hAnsi="Arial" w:cs="Arial"/>
          <w:color w:val="000000" w:themeColor="text1"/>
          <w:sz w:val="24"/>
          <w:szCs w:val="24"/>
          <w:shd w:val="clear" w:color="auto" w:fill="FFFFFF"/>
        </w:rPr>
      </w:pPr>
    </w:p>
    <w:p w:rsidRPr="2030048C" w:rsidP="2030048C">
      <w:pPr>
        <w:pStyle w:val="ListParagraph"/>
        <w:numPr>
          <w:ilvl w:val="1"/>
          <w:numId w:val="15"/>
        </w:numPr>
        <w:ind w:left="255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Apply specialised knowledge and skills, and conduct reflexive, critical and collaborative practice, to the design and development of innovative media-rich computer games</w:t>
      </w:r>
    </w:p>
    <w:p w:rsidRPr="2030048C" w:rsidP="2030048C">
      <w:pPr>
        <w:pStyle w:val="ListParagraph"/>
        <w:numPr>
          <w:ilvl w:val="1"/>
          <w:numId w:val="15"/>
        </w:numPr>
        <w:ind w:left="2550" w:hanging="360"/>
        <w:jc w:val="both"/>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sz w:val="22"/>
          <w:szCs w:val="22"/>
          <w:shd w:val="clear" w:color="auto" w:fill="FFFFFF"/>
        </w:rPr>
        <w:t>Develop students’ reflexive, critical and cross-disciplinary practice with particular regard to games design.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and evaluate research in games development. Identify contemporary issues;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select, adapt/extend and use effectively a wide range of methods, tools and techniques for games development;</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select, use and recommend the tools and technologies necessary for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assess and select the tools and methods necessary to solve a games-related problem;</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and use games prototypes and mock-ups;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discuss the computer games industry itself. This includes ethical, legal and professional issues and the games production process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synthesise information from diverse disciplines and application domains;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create games which incorporate advanced digital media (text, graphics, audio and video);</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game theory and design methodologies in relation to practical processes and production involved in games development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report on their work critically in written format, at meetings, or by formal oral presentation;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scientific theories, frameworks, models and design guidelines to all stages of games development.  Includes research material</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knowledge in a professional context, including understanding of their professional development and the structure of the placement organisation (With Professional Placement Only)</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make real and rationalise innovative computer games that satisfy a range of user-centred criteria (aesthetically pleasing, easy to use, productive, entertaining).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30"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B6</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relevant game theory and design methodologies to a games implementation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C6</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relate academic theory to practice, develop and practise key personal and employability skills and show examples of the application of these skills (With Professional Placement Only)</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This course is part of the University’s Postgraduate Regulations (PR).  Courses in the PR are made up of modules that are designated at level 7.  Single taught modules in the courses are valued at 30 credits and the course contains a project that has 60 credits.  The minimum requirement for a Postgraduate Certificate is 60 credits, for a Postgraduate Diploma 120 credits and a Masters Degree 180 credits. </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The course offers the PG Certificate as an exit award only and is based on the student passing any coherent subset of the taught modules.  </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awards available are detailed in section A and the requirements are outlined below.  All students will be provided with the PR regulations in the student handbook.</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The Courses are offered as 1 year full-time, and normally 2-3 years part-time. The course design fully considers all student groups.  Delivery of modules is either by two 1-week blocks separated by several weeks, or full-day sessions spread over a teaching block.  Overseas students are also able to complete their degree within VISA limitations.</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 xml:space="preserve">Full-time students will complete the programme of study and assessment in 52 weeks.  The normal study pattern for part-time students is that they should complete 4 modules over a two to three year period and complete their project within the same period.  Because of the structure of the course, part-time students may be able to commence the course at different times during the academic year after discussion with the Course Leader of relevant issues, including the need for specific preparatory study. </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Normally, each module will include approximately 60 hours contact time, followed by directed learning resulting in a total of 300 hours of student effort.  The project is the equivalent of two modules and requires 600 hours of student effort.</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A January intake is accommodated by ensuring that two technical modules are delivered in the Spring semester.  This ensures that all students, including January starters can complete the individual project in the summer without disadvantage.</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To address advanced ethics and professional issues, these issues are addressed within the context of technical core modules taken before the project is conducted, specifically, within Digital Studio Practice, Media Specialist Practice and the Individual Project.</w:t>
      </w:r>
    </w:p>
    <w:p w:rsidRPr="2030048C" w:rsidP="2030048C">
      <w:pPr>
        <w:pStyle w:val="p"/>
        <w:jc w:val="both"/>
        <w:rPr>
          <w:rFonts w:ascii="Arial" w:eastAsia="Arial" w:hAnsi="Arial" w:cs="Arial"/>
          <w:color w:val="000000" w:themeColor="text1" w:themeShade="FF" w:themeTint="FF"/>
          <w:sz w:val="24"/>
          <w:szCs w:val="24"/>
        </w:rPr>
      </w:pPr>
      <w:r w:rsidRPr="2030048C">
        <w:rPr>
          <w:rFonts w:ascii="Arial" w:eastAsia="Arial" w:hAnsi="Arial" w:cs="Arial"/>
          <w:color w:val="000000"/>
          <w:sz w:val="22"/>
          <w:szCs w:val="22"/>
        </w:rPr>
        <w:t>To prevent assessment bunching and over assessment, there is a planning meeting at the beginning of teaching blocks 1 and 2.</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(Design)</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MA</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Game Development (Design)</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 xml:space="preserve"> Digital Studio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CI7810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Connected Games Development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Game Design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CI7870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User Experience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CI7801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3</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Character Animation for Film and Games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CI7880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Design Thinking Theory and Practice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CI7831</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CI7900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r w:rsidRPr="2030048C">
        <w:rPr>
          <w:rStyle w:val="normaltextrun"/>
          <w:rFonts w:ascii="Arial" w:eastAsia="Arial" w:hAnsi="Arial" w:cs="Arial"/>
          <w:i/>
          <w:iCs/>
          <w:color w:val="C00000"/>
          <w:sz w:val="24"/>
          <w:szCs w:val="24"/>
        </w:rPr>
        <w:t>.</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MA</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Game Development (Design)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 </w:t>
      </w:r>
    </w:p>
    <w:p w:rsidR="3D0EBCB8" w:rsidRPr="2030048C" w:rsidP="2030048C">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QAA Subject benchmarks</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Other subject or industry standards</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3345"/>
        <w:gridCol w:w="367"/>
        <w:gridCol w:w="835"/>
        <w:gridCol w:w="835"/>
        <w:gridCol w:w="835"/>
        <w:gridCol w:w="83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CI7810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CI7870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CI7801</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i/>
          <w:iCs/>
          <w:color w:val="E74C3C"/>
          <w:sz w:val="24"/>
          <w:szCs w:val="24"/>
        </w:rPr>
        <w:t>Add information here about the number of approved entry points and for each one, except the first one, the delivery dates of the modules and which Teaching Block they’ll be delivered in. The details of the first entry point noted should be provided in the module tables above.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b/>
          <w:bCs/>
          <w:color w:val="E74C3C"/>
          <w:sz w:val="24"/>
          <w:szCs w:val="24"/>
        </w:rPr>
        <w:t>Standard Codes and Definitions for Teaching Blocks</w:t>
      </w:r>
      <w:r w:rsidRPr="2030048C">
        <w:rPr>
          <w:rFonts w:ascii="Arial" w:eastAsia="Arial" w:hAnsi="Arial" w:cs="Arial"/>
          <w:color w:val="E74C3C"/>
          <w:sz w:val="24"/>
          <w:szCs w:val="24"/>
        </w:rPr>
        <w:br/>
      </w:r>
      <w:r w:rsidRPr="2030048C">
        <w:rPr>
          <w:rFonts w:ascii="Arial" w:eastAsia="Arial" w:hAnsi="Arial" w:cs="Arial"/>
          <w:color w:val="E74C3C"/>
          <w:sz w:val="24"/>
          <w:szCs w:val="24"/>
        </w:rPr>
        <w:t>•    TY13</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across Autumn and Spring terms.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TB1</w:t>
      </w:r>
      <w:r w:rsidRPr="2030048C">
        <w:rPr>
          <w:rFonts w:ascii="Arial" w:eastAsia="Arial" w:hAnsi="Arial" w:cs="Arial"/>
          <w:color w:val="E74C3C"/>
          <w:sz w:val="24"/>
          <w:szCs w:val="24"/>
        </w:rPr>
        <w:br/>
      </w:r>
      <w:r w:rsidRPr="2030048C">
        <w:rPr>
          <w:rFonts w:ascii="Arial" w:eastAsia="Arial" w:hAnsi="Arial" w:cs="Arial"/>
          <w:color w:val="E74C3C"/>
          <w:sz w:val="24"/>
          <w:szCs w:val="24"/>
        </w:rPr>
        <w:t>Autumn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29 Sept 2025 – 19 Dec 2025.</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TB2</w:t>
      </w:r>
      <w:r w:rsidRPr="2030048C">
        <w:rPr>
          <w:rFonts w:ascii="Arial" w:eastAsia="Arial" w:hAnsi="Arial" w:cs="Arial"/>
          <w:color w:val="E74C3C"/>
          <w:sz w:val="24"/>
          <w:szCs w:val="24"/>
        </w:rPr>
        <w:br/>
      </w:r>
      <w:r w:rsidRPr="2030048C">
        <w:rPr>
          <w:rFonts w:ascii="Arial" w:eastAsia="Arial" w:hAnsi="Arial" w:cs="Arial"/>
          <w:color w:val="E74C3C"/>
          <w:sz w:val="24"/>
          <w:szCs w:val="24"/>
        </w:rPr>
        <w:t>Spring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12 Jan 2026 – 24 Apr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TB3</w:t>
      </w:r>
      <w:r w:rsidRPr="2030048C">
        <w:rPr>
          <w:rFonts w:ascii="Arial" w:eastAsia="Arial" w:hAnsi="Arial" w:cs="Arial"/>
          <w:color w:val="E74C3C"/>
          <w:sz w:val="24"/>
          <w:szCs w:val="24"/>
        </w:rPr>
        <w:br/>
      </w:r>
      <w:r w:rsidRPr="2030048C">
        <w:rPr>
          <w:rFonts w:ascii="Arial" w:eastAsia="Arial" w:hAnsi="Arial" w:cs="Arial"/>
          <w:color w:val="E74C3C"/>
          <w:sz w:val="24"/>
          <w:szCs w:val="24"/>
        </w:rPr>
        <w:t>Summer term only.</w:t>
      </w:r>
      <w:r w:rsidRPr="2030048C">
        <w:rPr>
          <w:rFonts w:ascii="Arial" w:eastAsia="Arial" w:hAnsi="Arial" w:cs="Arial"/>
          <w:color w:val="E74C3C"/>
          <w:sz w:val="24"/>
          <w:szCs w:val="24"/>
        </w:rPr>
        <w:br/>
      </w:r>
      <w:r w:rsidRPr="2030048C">
        <w:rPr>
          <w:rFonts w:ascii="Arial" w:eastAsia="Arial" w:hAnsi="Arial" w:cs="Arial"/>
          <w:color w:val="E74C3C"/>
          <w:sz w:val="24"/>
          <w:szCs w:val="24"/>
        </w:rPr>
        <w:t>Example: 25 May 2026 – 24 Jul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SPAN</w:t>
      </w:r>
      <w:r w:rsidRPr="2030048C">
        <w:rPr>
          <w:rFonts w:ascii="Arial" w:eastAsia="Arial" w:hAnsi="Arial" w:cs="Arial"/>
          <w:color w:val="E74C3C"/>
          <w:sz w:val="24"/>
          <w:szCs w:val="24"/>
        </w:rPr>
        <w:br/>
      </w:r>
      <w:r w:rsidRPr="2030048C">
        <w:rPr>
          <w:rFonts w:ascii="Arial" w:eastAsia="Arial" w:hAnsi="Arial" w:cs="Arial"/>
          <w:color w:val="E74C3C"/>
          <w:sz w:val="24"/>
          <w:szCs w:val="24"/>
        </w:rPr>
        <w:t>Module spans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    Internally recorded as SPAN1 (first part) and SPAN2 (second part) in SITS.</w:t>
      </w:r>
      <w:r w:rsidRPr="2030048C">
        <w:rPr>
          <w:rFonts w:ascii="Arial" w:eastAsia="Arial" w:hAnsi="Arial" w:cs="Arial"/>
          <w:color w:val="E74C3C"/>
          <w:sz w:val="24"/>
          <w:szCs w:val="24"/>
        </w:rPr>
        <w:br/>
      </w:r>
      <w:r w:rsidRPr="2030048C">
        <w:rPr>
          <w:rFonts w:ascii="Arial" w:eastAsia="Arial" w:hAnsi="Arial" w:cs="Arial"/>
          <w:color w:val="E74C3C"/>
          <w:sz w:val="24"/>
          <w:szCs w:val="24"/>
        </w:rPr>
        <w:t>•    For CMS entries, using SPAN is sufficient as long as the team understands it covers two academic years.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May 2025 – 1 Sept 2026.</w:t>
      </w:r>
    </w:p>
    <w:p w:rsidRPr="2030048C" w:rsidP="2030048C">
      <w:pPr>
        <w:rPr>
          <w:rFonts w:ascii="Arial" w:eastAsia="Arial" w:hAnsi="Arial" w:cs="Arial"/>
          <w:sz w:val="24"/>
          <w:szCs w:val="24"/>
        </w:rPr>
      </w:pPr>
      <w:r w:rsidRPr="2030048C">
        <w:rPr>
          <w:rFonts w:ascii="Arial" w:eastAsia="Arial" w:hAnsi="Arial" w:cs="Arial"/>
          <w:sz w:val="24"/>
          <w:szCs w:val="24"/>
        </w:rPr>
        <w:br/>
      </w:r>
      <w:r w:rsidRPr="2030048C">
        <w:rPr>
          <w:rFonts w:ascii="Arial" w:eastAsia="Arial" w:hAnsi="Arial" w:cs="Arial"/>
          <w:color w:val="E74C3C"/>
          <w:sz w:val="24"/>
          <w:szCs w:val="24"/>
        </w:rPr>
        <w:t>•    ACYR</w:t>
      </w:r>
      <w:r w:rsidRPr="2030048C">
        <w:rPr>
          <w:rFonts w:ascii="Arial" w:eastAsia="Arial" w:hAnsi="Arial" w:cs="Arial"/>
          <w:color w:val="E74C3C"/>
          <w:sz w:val="24"/>
          <w:szCs w:val="24"/>
        </w:rPr>
        <w:br/>
      </w:r>
      <w:r w:rsidRPr="2030048C">
        <w:rPr>
          <w:rFonts w:ascii="Arial" w:eastAsia="Arial" w:hAnsi="Arial" w:cs="Arial"/>
          <w:color w:val="E74C3C"/>
          <w:sz w:val="24"/>
          <w:szCs w:val="24"/>
        </w:rPr>
        <w:t>Module taught within dates that do not fit standard slots.</w:t>
      </w:r>
      <w:r w:rsidRPr="2030048C">
        <w:rPr>
          <w:rFonts w:ascii="Arial" w:eastAsia="Arial" w:hAnsi="Arial" w:cs="Arial"/>
          <w:color w:val="E74C3C"/>
          <w:sz w:val="24"/>
          <w:szCs w:val="24"/>
        </w:rPr>
        <w:br/>
      </w:r>
      <w:r w:rsidRPr="2030048C">
        <w:rPr>
          <w:rFonts w:ascii="Arial" w:eastAsia="Arial" w:hAnsi="Arial" w:cs="Arial"/>
          <w:color w:val="E74C3C"/>
          <w:sz w:val="24"/>
          <w:szCs w:val="24"/>
        </w:rPr>
        <w:t>Example: 1 Aug 2025 – 1 Oct 2025.</w:t>
      </w:r>
      <w:r w:rsidRPr="2030048C">
        <w:rPr>
          <w:rFonts w:ascii="Arial" w:eastAsia="Arial" w:hAnsi="Arial" w:cs="Arial"/>
          <w:sz w:val="24"/>
          <w:szCs w:val="24"/>
        </w:rPr>
        <w:br/>
      </w:r>
      <w:r w:rsidRPr="2030048C">
        <w:rPr>
          <w:rFonts w:ascii="Arial" w:eastAsia="Arial" w:hAnsi="Arial" w:cs="Arial"/>
          <w:sz w:val="24"/>
          <w:szCs w:val="24"/>
        </w:rPr>
        <w:t>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multilevel"/>
    <w:tmpl w:val="74989B0A"/>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ListParagraph0">
    <w:name w:val="ListParagraph"/>
    <w:basedOn w:val="ListParagraph"/>
  </w:style>
  <w:style w:type="paragraph" w:customStyle="1" w:styleId="paragraph0CxSpFirst">
    <w:name w:val="paragraph0CxSpFirst"/>
    <w:basedOn w:val="ListParagraph"/>
  </w:style>
  <w:style w:type="paragraph" w:customStyle="1" w:styleId="paragraph0CxSpMiddle">
    <w:name w:val="paragraph0CxSpMiddle"/>
    <w:basedOn w:val="ListParagraph"/>
  </w:style>
  <w:style w:type="paragraph" w:customStyle="1" w:styleId="paragraph0CxSpLast">
    <w:name w:val="paragraph0CxSpLast"/>
    <w:basedOn w:val="ListParagraph"/>
  </w:style>
  <w:style w:type="paragraph" w:customStyle="1" w:styleId="p0CxSpFirst">
    <w:name w:val="p0CxSpFirst"/>
    <w:basedOn w:val="ListParagraph"/>
  </w:style>
  <w:style w:type="paragraph" w:customStyle="1" w:styleId="p0CxSpMiddle">
    <w:name w:val="p0CxSpMiddle"/>
    <w:basedOn w:val="ListParagraph"/>
  </w:style>
  <w:style w:type="paragraph" w:customStyle="1" w:styleId="p0CxSpLast">
    <w:name w:val="p0CxSpLast"/>
    <w:basedOn w:val="ListParagraph"/>
  </w:style>
  <w:style w:type="paragraph" w:customStyle="1" w:styleId="MediumGrid1-Accent21">
    <w:name w:val="MediumGrid1-Accent21"/>
    <w:basedOn w:val="ListParagraph"/>
  </w:style>
  <w:style w:type="paragraph" w:customStyle="1" w:styleId="cell">
    <w:name w:val="cell"/>
    <w:basedOn w:val="ListParagraph"/>
  </w:style>
  <w:style w:type="paragraph" w:customStyle="1" w:styleId="p">
    <w:name w:val="p"/>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727C77D-053B-4B8A-BCAF-8410DA23B2FC}"/>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