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Game Development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Game Development (Design)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Game Development (Design)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Game Development (Design)</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PPGDD1GDD01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PFGDD1GDD01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G400/G401</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Game Development (Design)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Game Development (Design)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Game Development (Design)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PFGDD1GDD99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u w:val="single"/>
              </w:rPr>
              <w:t>Compensation of the project module</w:t>
            </w: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Compensation is not permitted for</w:t>
            </w:r>
            <w:r w:rsidRPr="158602C4">
              <w:rPr>
                <w:rStyle w:val="normaltextrun"/>
                <w:rFonts w:ascii="Arial" w:eastAsia="Arial" w:hAnsi="Arial" w:cs="Arial"/>
                <w:b w:val="0"/>
                <w:bCs w:val="0"/>
                <w:color w:val="000000" w:themeColor="text1" w:themeShade="FF" w:themeTint="FF"/>
                <w:sz w:val="24"/>
                <w:szCs w:val="24"/>
              </w:rPr>
              <w:t xml:space="preserve"> the following module</w:t>
            </w:r>
            <w:r w:rsidRPr="158602C4">
              <w:rPr>
                <w:rStyle w:val="normaltextrun"/>
                <w:rFonts w:ascii="Arial" w:eastAsia="Arial" w:hAnsi="Arial" w:cs="Arial"/>
                <w:b w:val="0"/>
                <w:bCs w:val="0"/>
                <w:color w:val="000000" w:themeColor="text1" w:themeShade="FF" w:themeTint="FF"/>
                <w:sz w:val="24"/>
                <w:szCs w:val="24"/>
              </w:rPr>
              <w:t>:</w:t>
            </w:r>
          </w:p>
          <w:p w:rsidR="5D711985" w:rsidRPr="158602C4" w:rsidP="158602C4">
            <w:pPr>
              <w:numPr>
                <w:ilvl w:val="0"/>
                <w:numId w:val="12"/>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CI6300 Individual Project</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ind w:left="72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p>
    <w:p w:rsidRPr="2030048C" w:rsidP="2030048C">
      <w:pPr>
        <w:pStyle w:val="paragraph0CxSpFirs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significant aspect of study on this course is its articulation with other taught Masters courses as part of Digital Media Kingston (DMK), a Post Graduate Micro-Studio that offers PlayStation/Next Gen games development alongside computer animation and user experience design. This provides an integrated learning environment where students can develop their media specialist practice as part of a community engaged in interdisciplinary collaborative innovation.    </w:t>
      </w:r>
    </w:p>
    <w:p w:rsidRPr="2030048C" w:rsidP="2030048C">
      <w:pPr>
        <w:pStyle w:val="paragraph0CxSpMiddle"/>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Masters in Game Development encourages students to devise and participate in projects where they can develop as a games programmer or games designer whilst emphasising research informed industry focussed practice. Each subject pathway provides an intensive period of study that is made up of both course-specific modules and shared core modules within DMKs Postgraduate Framework. Our goal is to help students develop the critical thinking and the understanding of interdisciplinarity that will underpin their practice in the future. </w:t>
      </w:r>
    </w:p>
    <w:p w:rsidRPr="2030048C" w:rsidP="2030048C">
      <w:pPr>
        <w:pStyle w:val="paragraph0CxSpMiddle"/>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skills and knowledge gained will provide students with a firm foundation from which to undertake digital media research and are a platform for their personal and professional development in the practice of game development. It provides both a progression point towards the MA and MSc and is also an exit point from the course. Both the MA and MSc builds on the skills, knowledge and understanding acquired earlier in the Postgraduate Diploma phase and applies these in the creation of an original, digital media practical research project. The programme acknowledges students’ previous experience and that their study will continue to develop their personal approach to media practice. This will enable them to prepare for future employment or to engage in the extension of their study at Doctoral level. </w:t>
      </w:r>
    </w:p>
    <w:p w:rsidRPr="2030048C" w:rsidP="2030048C">
      <w:pPr>
        <w:pStyle w:val="paragraph0CxSpMiddle"/>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Masters Programme is offered in both full time and part time modes. The School has an excellent and proud history of employment both in large international companies and in UK based small and medium sized (SME) industries. The curriculum is backed by the research undertaken within the School. In addition it is informed by the School’s Industrial Advisory Panel.  </w:t>
      </w:r>
    </w:p>
    <w:p w:rsidRPr="2030048C" w:rsidP="2030048C">
      <w:pPr>
        <w:pStyle w:val="paragraph0CxSpLas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Game Development is one of the programmes within a suite of degrees being created as part of the Digital Media Kingston (DMK). The DMK brings together people with expertise in computer animation, games design, game development, user interfaces and other areas relating to digital media thus creating a rich environment where arts and computing students have the opportunity to work together. Considerable emphasis is placed on practical laboratory-based workshops and project work using specialist equipment. The software and hardware has been selected to be relevant to industry, such as the development on the same games consoles/development kit which would be used by professional games coders. Each of the pathways of Game Development is aligned to an industry role.</w:t>
      </w:r>
    </w:p>
    <w:p w:rsidRPr="2030048C" w:rsidP="2030048C">
      <w:pPr>
        <w:pStyle w:val="p0CxSpFirs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 xml:space="preserve">MA in Game Development (Design) focuses upon </w:t>
      </w:r>
      <w:r w:rsidRPr="2030048C">
        <w:rPr>
          <w:rStyle w:val="normaltextrun"/>
          <w:rFonts w:ascii="Arial" w:hAnsi="Arial" w:cs="Arial"/>
          <w:color w:val="000000"/>
          <w:sz w:val="22"/>
          <w:szCs w:val="22"/>
          <w:shd w:val="clear" w:color="auto" w:fill="FFFFFF"/>
        </w:rPr>
        <w:t>the design and development of 2D and 3D computer games using industry standard tools and practices. Students will be able to design for a number of platforms including games consoles, PCs and mobile devices. The course covers the principles, practices and processes of games design.</w:t>
      </w:r>
    </w:p>
    <w:p w:rsidRPr="2030048C" w:rsidP="2030048C">
      <w:pPr>
        <w:pStyle w:val="p0CxSpMiddle"/>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Optional: Each of the pathways is offered with a Professional Placement. This option is to spend an additional year in industry as part of the course. The placement year is a 10 to 12 months period with 30-40 working hours per week with no more than 60 days ‘inactivity’. The placement must be in a company and the work must be relevant to the degree. It could be either in the UK or abroad and has to be approved by the Faculty. The professional placement route is for full time students and is not available to January starters.</w:t>
      </w:r>
    </w:p>
    <w:p w:rsidRPr="2030048C" w:rsidP="2030048C">
      <w:pPr>
        <w:pStyle w:val="p0CxSpLas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Finding the placement is the responsibility of the individual students. If students do not find a suitable placement they will be switched onto the non-placement course.</w:t>
      </w:r>
    </w:p>
    <w:p w:rsidRPr="2030048C" w:rsidP="2030048C">
      <w:pPr>
        <w:pStyle w:val="MediumGrid1-Accent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cell"/>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Aims of the Course are to: </w:t>
      </w:r>
    </w:p>
    <w:p w:rsidRPr="2030048C" w:rsidP="2030048C">
      <w:pPr>
        <w:pStyle w:val="MediumGrid1-Accent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127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Equip students with the capability to use and employ tools, frameworks, models and rules relevant to game development;</w:t>
      </w:r>
    </w:p>
    <w:p w:rsidRPr="2030048C" w:rsidP="2030048C">
      <w:pPr>
        <w:pStyle w:val="ListParagraph"/>
        <w:numPr>
          <w:ilvl w:val="0"/>
          <w:numId w:val="13"/>
        </w:numPr>
        <w:ind w:left="127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Enhance a student’s job performance and enable him/her to contribute effectively to the knowledge base of the employer;</w:t>
      </w:r>
    </w:p>
    <w:p w:rsidRPr="2030048C" w:rsidP="2030048C">
      <w:pPr>
        <w:pStyle w:val="ListParagraph"/>
        <w:numPr>
          <w:ilvl w:val="0"/>
          <w:numId w:val="13"/>
        </w:numPr>
        <w:ind w:left="127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Give students the means to explore in detail the analysis, design and evaluation of computer games;</w:t>
      </w:r>
    </w:p>
    <w:p w:rsidRPr="2030048C" w:rsidP="2030048C">
      <w:pPr>
        <w:pStyle w:val="ListParagraph"/>
        <w:numPr>
          <w:ilvl w:val="0"/>
          <w:numId w:val="14"/>
        </w:numPr>
        <w:ind w:left="127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an enquiring, analytical and creative approach to both personal and professional activities that leads to the critical and responsible use of informed and independent judgement.</w:t>
      </w:r>
    </w:p>
    <w:p w:rsidRPr="2030048C" w:rsidP="2030048C">
      <w:pPr>
        <w:pStyle w:val="ListParagraph"/>
        <w:numPr>
          <w:ilvl w:val="0"/>
          <w:numId w:val="15"/>
        </w:numPr>
        <w:ind w:left="127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Gain a solid foundation in this specialist area, adding to and integrating, the knowledge and skills gained from each student’s individual educational background and work experience;</w:t>
      </w:r>
    </w:p>
    <w:p w:rsidRPr="2030048C" w:rsidP="2030048C">
      <w:pPr>
        <w:pStyle w:val="ListParagraph"/>
        <w:numPr>
          <w:ilvl w:val="0"/>
          <w:numId w:val="15"/>
        </w:numPr>
        <w:ind w:left="127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Explore disciplinary boundaries, resolve value conflicts and bridge gaps in knowledge with arguments from first principle and activity at the forefront of best practice.</w:t>
      </w:r>
    </w:p>
    <w:p w:rsidRPr="2030048C" w:rsidP="2030048C">
      <w:pPr>
        <w:pStyle w:val="ListParagraph"/>
        <w:numPr>
          <w:ilvl w:val="0"/>
          <w:numId w:val="15"/>
        </w:numPr>
        <w:ind w:left="1830" w:hanging="915"/>
        <w:jc w:val="both"/>
        <w:rPr>
          <w:rStyle w:val="normaltextrun"/>
          <w:rFonts w:ascii="Arial" w:hAnsi="Arial" w:cs="Arial"/>
          <w:color w:val="000000" w:themeColor="text1"/>
          <w:sz w:val="24"/>
          <w:szCs w:val="24"/>
          <w:shd w:val="clear" w:color="auto" w:fill="FFFFFF"/>
        </w:rPr>
      </w:pPr>
    </w:p>
    <w:p w:rsidRPr="2030048C" w:rsidP="2030048C">
      <w:pPr>
        <w:pStyle w:val="ListParagraph"/>
        <w:numPr>
          <w:ilvl w:val="1"/>
          <w:numId w:val="15"/>
        </w:numPr>
        <w:ind w:left="255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Apply specialised knowledge and skills, and conduct reflexive, critical and collaborative practice, to the design and development of innovative media-rich computer games</w:t>
      </w:r>
    </w:p>
    <w:p w:rsidRPr="2030048C" w:rsidP="2030048C">
      <w:pPr>
        <w:pStyle w:val="ListParagraph"/>
        <w:numPr>
          <w:ilvl w:val="1"/>
          <w:numId w:val="15"/>
        </w:numPr>
        <w:ind w:left="255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students’ reflexive, critical and cross-disciplinary practice with particular regard to games design.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in a professional context, including understanding of their professional development and the structure of the placement organisation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evaluate research in games development. Identify contemporary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adapt/extend and use effectively a wide range of methods, tools and techniques for games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use and recommend the tools and technologies necessary for games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and select the tools and methods necessary to solve a games-related problem;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use games prototypes and mock-ups;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discuss the computer games industry itself. This includes ethical, legal and professional issues and the games production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diverse disciplines and application domains;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create games which incorporate advanced digital media (text, graphics, audio and video);</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game theory and design methodologies in relation to practical processes and production involved in games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report on their work critically in written format, at meetings, or by formal oral presentation;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scientific theories, frameworks, models and design guidelines to all stages of games development.  Includes research material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in a professional context, including understanding of their professional development and the structure of the placement organisation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make real and rationalise innovative computer games that satisfy a range of user-centred criteria (aesthetically pleasing, easy to use, productive, entertaining).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relevant game theory and design methodologies to a games implementation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relate academic theory to practice, develop and practise key personal and employability skills and show examples of the application of these skills (With Professional Placement Only)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This course is part of the University’s Postgraduate Regulations (PR).  Courses in the PR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Masters Degree 180 credits. </w:t>
      </w:r>
    </w:p>
    <w:p w:rsidRPr="2030048C" w:rsidP="2030048C">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The course offers the PG Certificate as an exit award only and is based on the student passing any coherent subset of the taught modules.  </w:t>
      </w:r>
    </w:p>
    <w:p w:rsidRPr="2030048C" w:rsidP="2030048C">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awards available are detailed in section A and the requirements are outlined below.  All students will be provided with the PR regulations in the student handbook.</w:t>
      </w:r>
    </w:p>
    <w:p w:rsidRPr="2030048C" w:rsidP="2030048C">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Courses are offered as 1 year full-time, and normally 2-3 years part-time. The course design fully considers all student groups.  Delivery of modules is either by two 1-week blocks separated by several weeks, or full-day sessions spread over a teaching block.  Overseas students are also able to complete their degree within VISA limitations.</w:t>
      </w:r>
    </w:p>
    <w:p w:rsidRPr="2030048C" w:rsidP="2030048C">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Full-time students will complete the programme of study and assessment in 52 weeks.  The normal study pattern for part-time students is that they should complete 4 modules over a two to three year period and complete their project within the same period.  Because of the structure of the course, part-time students may be able to commence the course at different times during the academic year after discussion with the Course Leader of relevant issues, including the need for specific preparatory study. </w:t>
      </w:r>
    </w:p>
    <w:p w:rsidRPr="2030048C" w:rsidP="2030048C">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Normally, each module will include approximately 60 hours contact time, followed by directed learning resulting in a total of 300 hours of student effort.  The project is the equivalent of two modules and requires 600 hours of student effort.</w:t>
      </w:r>
    </w:p>
    <w:p w:rsidRPr="2030048C" w:rsidP="2030048C">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A January intake is accommodated by ensuring that two technical modules are delivered in the Spring semester.  This ensures that all students, including January starters can complete the individual project in the summer without disadvantage.</w:t>
      </w:r>
    </w:p>
    <w:p w:rsidRPr="2030048C" w:rsidP="2030048C">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To address advanced ethics and professional issues, these issues are addressed within the context of technical core modules taken before the project is conducted, specifically, within Digital Studio Practice, Media Specialist Practice and the Individual Project.</w:t>
      </w:r>
    </w:p>
    <w:p w:rsidRPr="2030048C" w:rsidP="2030048C">
      <w:pPr>
        <w:pStyle w:val="p"/>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To prevent assessment bunching and over assessment, there is a planning meeting at the beginning of teaching blocks 1 and 2.</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Game Development (Design)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Game Development (Design)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 xml:space="preserve"> Digital Studio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Connected Games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Game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CI7870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User Experience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Character Animation for Film and Games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CI7880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Design Thinking Theory and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CI7831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r w:rsidRPr="2030048C">
        <w:rPr>
          <w:rStyle w:val="normaltextrun"/>
          <w:rFonts w:ascii="Arial" w:eastAsia="Arial" w:hAnsi="Arial" w:cs="Arial"/>
          <w:i/>
          <w:iCs/>
          <w:color w:val="C00000"/>
          <w:sz w:val="24"/>
          <w:szCs w:val="24"/>
        </w:rPr>
        <w:t>.</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Game Development (Design)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35"/>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CI7870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ListParagraph"/>
  </w:style>
  <w:style w:type="paragraph" w:customStyle="1" w:styleId="paragraph0CxSpFirst">
    <w:name w:val="paragraph0CxSpFirst"/>
    <w:basedOn w:val="ListParagraph"/>
  </w:style>
  <w:style w:type="paragraph" w:customStyle="1" w:styleId="paragraph0CxSpMiddle">
    <w:name w:val="paragraph0CxSpMiddle"/>
    <w:basedOn w:val="ListParagraph"/>
  </w:style>
  <w:style w:type="paragraph" w:customStyle="1" w:styleId="paragraph0CxSpLast">
    <w:name w:val="paragraph0CxSpLast"/>
    <w:basedOn w:val="ListParagraph"/>
  </w:style>
  <w:style w:type="paragraph" w:customStyle="1" w:styleId="p0CxSpFirst">
    <w:name w:val="p0CxSpFirst"/>
    <w:basedOn w:val="ListParagraph"/>
  </w:style>
  <w:style w:type="paragraph" w:customStyle="1" w:styleId="p0CxSpMiddle">
    <w:name w:val="p0CxSpMiddle"/>
    <w:basedOn w:val="ListParagraph"/>
  </w:style>
  <w:style w:type="paragraph" w:customStyle="1" w:styleId="p0CxSpLast">
    <w:name w:val="p0CxSpLast"/>
    <w:basedOn w:val="ListParagraph"/>
  </w:style>
  <w:style w:type="paragraph" w:customStyle="1" w:styleId="MediumGrid1-Accent21">
    <w:name w:val="MediumGrid1-Accent21"/>
    <w:basedOn w:val="ListParagraph"/>
  </w:style>
  <w:style w:type="paragraph" w:customStyle="1" w:styleId="cell">
    <w:name w:val="cell"/>
    <w:basedOn w:val="ListParagraph"/>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727C77D-053B-4B8A-BCAF-8410DA23B2F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