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Automation and Control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Automation and Control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 xml:space="preserve">PgDip Automation and Control Engineering </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PGDip Automation and Control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Automation and Control Engineering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Automation and Control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PPACE1ACE20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PFACE1ACE20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Automation and Control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Automation and Control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Automation and Control Engineering Studies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Automation and Control Engineering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PFACE1ACE99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Institution of </w:t>
            </w:r>
            <w:r w:rsidRPr="2030048C">
              <w:rPr>
                <w:rStyle w:val="normaltextrun"/>
                <w:rFonts w:ascii="Arial" w:eastAsia="Arial" w:hAnsi="Arial" w:cs="Arial"/>
                <w:b w:val="0"/>
                <w:bCs w:val="0"/>
                <w:color w:val="000000"/>
                <w:sz w:val="24"/>
                <w:szCs w:val="24"/>
                <w:shd w:val="clear" w:color="auto" w:fill="FFFFFF"/>
              </w:rPr>
              <w:t>Mech</w:t>
            </w:r>
            <w:r w:rsidRPr="2030048C">
              <w:rPr>
                <w:rStyle w:val="normaltextrun"/>
                <w:rFonts w:ascii="Arial" w:eastAsia="Arial" w:hAnsi="Arial" w:cs="Arial"/>
                <w:b w:val="0"/>
                <w:bCs w:val="0"/>
                <w:color w:val="000000"/>
                <w:sz w:val="24"/>
                <w:szCs w:val="24"/>
                <w:shd w:val="clear" w:color="auto" w:fill="FFFFFF"/>
              </w:rPr>
              <w:t xml:space="preserve">anical </w:t>
            </w:r>
            <w:r w:rsidRPr="2030048C">
              <w:rPr>
                <w:rStyle w:val="normaltextrun"/>
                <w:rFonts w:ascii="Arial" w:eastAsia="Arial" w:hAnsi="Arial" w:cs="Arial"/>
                <w:b w:val="0"/>
                <w:bCs w:val="0"/>
                <w:color w:val="000000"/>
                <w:sz w:val="24"/>
                <w:szCs w:val="24"/>
                <w:shd w:val="clear" w:color="auto" w:fill="FFFFFF"/>
              </w:rPr>
              <w:t>E</w:t>
            </w:r>
            <w:r w:rsidRPr="2030048C">
              <w:rPr>
                <w:rStyle w:val="normaltextrun"/>
                <w:rFonts w:ascii="Arial" w:eastAsia="Arial" w:hAnsi="Arial" w:cs="Arial"/>
                <w:b w:val="0"/>
                <w:bCs w:val="0"/>
                <w:color w:val="000000"/>
                <w:sz w:val="24"/>
                <w:szCs w:val="24"/>
                <w:shd w:val="clear" w:color="auto" w:fill="FFFFFF"/>
              </w:rPr>
              <w:t>ngineer</w:t>
            </w:r>
            <w:r w:rsidRPr="2030048C">
              <w:rPr>
                <w:rStyle w:val="normaltextrun"/>
                <w:rFonts w:ascii="Arial" w:eastAsia="Arial" w:hAnsi="Arial" w:cs="Arial"/>
                <w:b w:val="0"/>
                <w:bCs w:val="0"/>
                <w:color w:val="000000"/>
                <w:sz w:val="24"/>
                <w:szCs w:val="24"/>
                <w:shd w:val="clear" w:color="auto" w:fill="FFFFFF"/>
              </w:rPr>
              <w:t>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a maximum of 20 credits may be compensated within this programme. As the programme includes both 30 and 15-credit modules, only one 15-credit module may be compensated.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Kingston University postgraduate regulations, a student may be awarded compensation for up to 30 credits. Provided this condition is met, the student remains eligible for the award in MSc Automation and Control Engineering Studies.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Automation and Control Engineering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“period of further learning” which is a requirement of the Institution of Mechanical Engineers for Chartered Engineer status for students with an accredited BEng.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with knowledge, skills, and a critical appreciation of the principles of operation and the main components of automated systems: control systems, modelling and simulation of mechanical and robotic devices, image and signal processing, artificial intelligence methods and embedded software engineering.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ability to conceptualise, design, prototype, and deliver creative automation and control system solutions, integrating software, electronics, and mechanical subsystems.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with the professional attitudes, entrepreneurial spirit, and many transferable skills necessary to develop and exploit their technical abilities in the furtherance of their careers within the evolving fields of automation, robotics, and control.</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Encourage a disciplined, engineering-based approach and strong practical competence in the use of modern design tools, methodologies, standards, and control frameworks for automated systems.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Acquire specialised knowledge and skills in selected areas of automation. For example, digital image and signal processing, machine learning, modelling and simulation, and industrial control.</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Demonstrate an understanding of the major technical, economic, organisational, and human factors which guide the design, implementation, and management of automation systems.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Practice the theoretical concepts and knowledge acquired using the taught modules in a substantial research or industrial based project.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Initiate, plan, and sustain a disciplined personal effort with academic rigour during the project, leading to an original, individual, and innovative academic dissertation.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automation engineering in a variety of application areas such as robotics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major components required for a practical automated system for applications such as robotics, assistive technologies, avionics and automotive engineering.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automated systems showing a detailed understanding of principles and practical techniques of modelling and simulation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Gather, analyse and specify user requirements for automated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 ethical legal and professional issues in the deployment of automated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mechanical,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jointly mechanical, electronic, software and control designs using a standard notation and to select and apply a suitable modelling and simulation/ CAD software to coordinate the development and deployment of automated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02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Automation and Control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Automation and Control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Control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Autonomous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Biologically Inspired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ME7029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Automation and Control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 </w:t>
      </w:r>
      <w:hyperlink r:id="rId11" w:history="1">
        <w:r w:rsidRPr="2030048C">
          <w:rPr>
            <w:rFonts w:ascii="Arial" w:eastAsia="Arial" w:hAnsi="Arial" w:cs="Arial"/>
            <w:sz w:val="24"/>
            <w:szCs w:val="24"/>
          </w:rPr>
          <w:t>Institution of Mechanical Engineers - IMechE</w:t>
        </w:r>
      </w:hyperlink>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 </w:t>
      </w:r>
      <w:hyperlink r:id="rId12" w:history="1">
        <w:r w:rsidRPr="2030048C">
          <w:rPr>
            <w:rFonts w:ascii="Arial" w:eastAsia="Arial" w:hAnsi="Arial" w:cs="Arial"/>
            <w:sz w:val="24"/>
            <w:szCs w:val="24"/>
          </w:rPr>
          <w:t>Subject Benchmark Statement - Engineering</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02bodytext">
    <w:name w:val="02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engineer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meche.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0335E2F-647B-4F9C-83A8-D1AB811C236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