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Artificial Intelligence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Artificial Intelligence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Artificial Intelligence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Artificial Intelligence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PPARI1ARI20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PFARI1ARI20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Artificial Intelligence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Artificial Intelligence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Artificial Intelligence</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of modules: Compensation is not permitted in modules at Level 7. All Level 7 modules must be passed with a mark of at least 50%.</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MSc in Artificial Intelligence (AI) offers a comprehensive range of modules that cover cutting-edge algorithms, tools, and techniques in the field of AI. These modules are designed to align with the growing market opportunities in various areas, including big data, data mining, machine learning, deep learning and their direct application in Computer Vision, Natural Language Processing, and Cyber Security.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principal aim of the course is: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provide students with a strong foundation in the theoretical aspects of AI technologies, enabling them to apply these algorithms to real-world data and develop intelligent systems ready for deployment.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course is ideal for students that wish to develop and apply computing skills in this domain that is widely used throughout industries and the public sector.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modules are structured in a way that follows the typical roadmap of an AI project, ensuring a systematic approach to learning. Most importantly, elective modules are available to allow students to specialise and focus on specific areas of interest. The compulsory modules include Applied Data Programming, Ethics &amp; Regulation in AI, and Machine Learning &amp; Deep Learning. These modules provide a broad understanding of AI principles and applications. The elective modules include Cyber &amp; AI Applications, Natural Language Processing, and Computer Vision. These modules offer students the opportunity to delve deeper into specialised areas within AI, depending on their chosen stream of study.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Courses which include a ‘with professional placement’ pathway must include specific Programme Learning Outcomes (PLOs) that are assessed within the placement module: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should explicitly reflect the knowledge, skills and professional competencies expected to be developed during the placement experience</w:t>
      </w:r>
    </w:p>
    <w:p w:rsidRPr="2030048C" w:rsidP="2030048C">
      <w:pPr>
        <w:numPr>
          <w:ilvl w:val="0"/>
          <w:numId w:val="13"/>
        </w:numPr>
        <w:ind w:left="720" w:hanging="360"/>
        <w:jc w:val="left"/>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i/>
          <w:iCs/>
          <w:color w:val="C0392B"/>
          <w:sz w:val="24"/>
          <w:szCs w:val="24"/>
        </w:rPr>
        <w:t>These PLOs are exempt from the general requirement that all PLOs must be assessed in at least two modules</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evaluate essential concepts, theories, principles, and practices of computer science that underpin Artificial 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abstract and decompose problems to design effective solutions or models.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develop and critically evaluate specifications for specialist computer systems involving AI and communicate these specifications to other computing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key ethical, legal, social and commercial and other human factors that affect the design, development and deployment of Artificial Intelligence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and draw new conclusions from disparate and potentially incomplete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and modify established systems, AI models, techniques and tools to model, develop and build computer-based AI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current developments and future trends in Artificial 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evaluate and advise on the development of AI models to ensure they meet the needs of its current use and future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communicate effectively with other professionals/stakeholders to plan, design, implement, evaluate and deliver AI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security issues and evaluate risk in the context of Artificial Intelligence.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Elicit, evaluate and model business, customer and user requirements, incorporating considerations such as sociological and commercial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and implement software solutions involving AI using a variety of programming languages, environments and platforms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appraise and identify appropriate ways that data and information can be stored and processed using Artificial Intelligence in ways appropriate to the context of different uses.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different programming environments and justify the selection of one or more for a given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Keep up-to-date in the Artificial Intelligence profession through relevant literature, research and using professional networks.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develop appropriate methods and any relevant computer applications, to assist in the solution of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made up of four core taught modules in total worth 90 credits, two option modules (total: 30 credits) that have to be chosen worth 15 credits each and an individual project worth 60 credits. All students will be provided with the University Postgraduate Regulations.  Full details of each module are provided in module descriptors and via the VLE.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optional Professional Placement is undertaken following completion of the other modules, specifically in Year 2 – all deadlines for it are posted on the VLE. Students on placement complete a portfolio assessment which includes a reflection on how the theories they have learnt during their teaching year have helped them in their placement and demonstrate the ability to apply their teaching in a real-world 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Modules will run in the following order: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7000875" cy="395287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7000875" cy="395287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project dissertation module's start and end dates are cohort-dependent. For the September cohort, students are enrolled in the module in January and are expected to submit it by mid-September. Similarly, for the January cohort, students are enrolled in the module in June and are expected to submit it by mid-January.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Consistent with all PG courses in the School of Computer Science and Mathematics (CSM), modules will be delivered in Block Delivery Mode to offer students high flexibility in balancing their work and other commitments. Each 30-credit and 15-credit module will be delivered over two and one week(s) respectively, with classes scheduled for five days a week, six hours a day.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three elective modules should function as practical applications of the machine learning and deep learning concepts introduced in the 30-credit core module CI7520. Additionally, students are expected to extend the topics covered in the taught modules and treat the Dissertation module (CI7000) as an exemplary AI project. This project should not only demonstrate students' domain knowledge but also showcase their practical skills.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target of our course extends well beyond covering the main theories of contemporary AI applications. Our primary goal is to prepare our graduates for the industry by focusing extensively on real-world commercial applications and full enterprise architecture. In the current industry, there are AI research-oriented staff who understand AI theory very well but struggle to commercially implement or integrate it into an enterprise platform due to a lack of understanding of system engineering and architecture principles. Conversely, there are very good software engineers who understand best software practices but struggle to efficiently integrate AI components due to a lack of understanding of AI theory. As a result, they use AI as a black-box component without being able to efficiently customise it to meet application needs, which affects the performance, reliability, efficiency, operational cost, and other aspects of the final product.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While each of the modules covers some aspects of software engineering practice and architecture frameworks, an integrated approach is crucial. Therefore, we are introducing a compulsory one-and-a-half-day intensive workshop titled “Developing an AI-Driven Cloud-Based Enterprise System,” which will be offered twice a year. Students are expected to enrol in the workshop during the early stages of their dissertation project. The main aim is to provide a comprehensive understanding of the development of AI-driven cloud-based enterprise systems while highlighting essential systems engineering and architectural principles.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Artificial Intelligence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Artificial Intelligence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Big Data and Data Mining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Ethics and Regulation of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Computer 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Cyber Security and Artificial Intelligence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Natural Language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Artificial Intelligence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Artificial Intelligence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Big Data and Data Mining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Ethics and Regulation of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Deep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CI7521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Computer 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Cyber Security and Artificial Intelligence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Natural Language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Students on postgraduate courses in the School of CSM come from diverse social, cultural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to cater for this diversity and define the approaches to learning, teaching and assessment (LTA), pastoral care and employability with the following broad principles: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 xml:space="preserve">An inclusive curriculum with the student at the heart of the learning process encouraging choice in their focussed topics for investigation within the prescribed module assignment formats (where practical) and sharing experiences and perspectives within the course through discussion and presentation of results.  </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 xml:space="preserve">Module descriptors adopt problem-centred approaches which in turn facilitate an inclusive learning environment. </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Curricula and approaches to LTA allow for expression of cohorts’ experiences and perspectives, ultimately for sharing and shaping understanding together.  Modules and the dissertation challenge students’ epistemological and ontological approaches to the study of Artificial Intelligence, including software and its legal, social and ethical aspects and the impact on society to develop approaches to critical evaluation of current and future knowledge.</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Teaching sessions are problem-centred, predominantly workshop-based, and necessarily interactive to make best use of the intensive weeks of study interspersed with directed study. Workshops and the use of the VLE (or other cohort-inspired networking tools) allow students to investigate and share their understanding of new concepts, techniques and technologies. This approach is also designed to enhance their practical competency and confidence when dealing with a range of requirements.</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The delivery is research informed, taking advantage of CSM’s diverse research portfolio, dynamically updated in accordance with advances in the field.</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Modules incorporate opportunities to explore current developments in the field, in practice and applied settings incorporating student perspectives, real world situations, problem solving and task based learning.  Content includes the opportunity for students to personalise the topics being explored and allow them to adapt summative assessments towards their personal interests and motivations, where practical in module assignments as well as the dissertation.</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Teaching teams draw on the academic strengths and research interests of staff and use invited speakers and experts from research and industry to bolster the curriculum.  This offers students up-to-date learning experiences from experts in these areas.</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 xml:space="preserve">Students complete their MSc by conducting an individualised capstone research project, designed in collaboration with the Artificial Intelligence team.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Assessment for learning (rather than solely of learning) enabling an inclusive student perspective in their design and application, permitting a degree of individual choice and direction for assessed tasks work.</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All assessments have been designed at level 7, as appropriate for the Artificial Intelligence MSc, to be inclusive, accessible, artefact-based and authentic to the field.</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Students’ induction at the start of the course includes an introduction to the language of UK HEI assessment and the tools used to measure the quality of their academic performance.</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The assessment strategy aims to incorporate an element of choice within a carefully designed framework of assessments that align with the diversity of a Artificial Intelligence professional’s needs, and thus encourages students to be personally involved in their assessments. For example, students will have opportunities to choose to focus on different industries and contexts reflecting their specialism or areas of interest in coursework assignments.</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Students have formative tasks and feedback available within the workshops preceding all assessments.  Teaching sessions adopt a range of activities (including practical tasks, case studies, group discussion, role play) to enrich the learning experience in a problem-centred, predominantly workshop-based setting, which directly supports the formulation of summative assessments.</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Feedback on both formative tasks and summative work enables students to learn from assessment experiences, reflect alongside directed study and feed-forward that learning to future assessments, most critically to the final dissertation project.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An approach to the personal tutor system appropriate to the Artificial Intelligence MSc, which provides opportunities for students to personalise their experience and track their academic and personal skills development.</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The Course Leader is the nexus of the postgraduate personal tutor system and normally acts as the formal Personal Tutor, supported day-to-day during intensive week-block teaching by the course’s module leaders. </w:t>
      </w:r>
      <w:r w:rsidRPr="2030048C">
        <w:rPr>
          <w:rFonts w:ascii="Arial" w:eastAsia="Arial" w:hAnsi="Arial" w:cs="Arial"/>
          <w:sz w:val="24"/>
          <w:szCs w:val="24"/>
        </w:rPr>
        <w:t>The personal tutors take the lead on academic advise and pastoral support. This is also complemented by the Individual Project Supervisor who also develops a complementary relationship with their supervisees. The personal tutor and project supervisor are the major touchpoints for the investigation of students’ current future skills and a point of guidance for their development.</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Students will have a Dissertation Supervisor from the Artificial Intelligence team and in cases where that is the Course Leader, an independent Personal Tutor will also be appointed so that all students have the opportunity for independent pastoral and academic advice.</w:t>
      </w:r>
    </w:p>
    <w:p w:rsidRPr="2030048C" w:rsidP="2030048C">
      <w:pPr>
        <w:numPr>
          <w:ilvl w:val="1"/>
          <w:numId w:val="15"/>
        </w:numPr>
        <w:ind w:left="1440" w:hanging="360"/>
        <w:jc w:val="left"/>
        <w:rPr>
          <w:rFonts w:ascii="Arial" w:eastAsia="Arial" w:hAnsi="Arial" w:cs="Arial"/>
          <w:sz w:val="24"/>
          <w:szCs w:val="24"/>
        </w:rPr>
      </w:pPr>
      <w:r w:rsidRPr="2030048C">
        <w:rPr>
          <w:rFonts w:ascii="Arial" w:eastAsia="Arial" w:hAnsi="Arial" w:cs="Arial"/>
          <w:sz w:val="24"/>
          <w:szCs w:val="24"/>
        </w:rPr>
        <w:t>The Course Leader and/or Personal Tutor will meet with Artificial Intelligence students regularly to provide guidance on assessment and personal development choices, discuss progress on the course, career plans, goals, development and recognition of personal and graduate attributes.</w:t>
      </w:r>
    </w:p>
    <w:p w:rsidRPr="2030048C" w:rsidP="2030048C">
      <w:pPr>
        <w:rPr>
          <w:rFonts w:ascii="Arial" w:eastAsia="Arial" w:hAnsi="Arial" w:cs="Arial"/>
          <w:sz w:val="24"/>
          <w:szCs w:val="24"/>
        </w:rPr>
      </w:pPr>
      <w:r w:rsidRPr="2030048C">
        <w:rPr>
          <w:rFonts w:ascii="Arial" w:eastAsia="Arial" w:hAnsi="Arial" w:cs="Arial"/>
          <w:sz w:val="24"/>
          <w:szCs w:val="24"/>
        </w:rPr>
        <w:t>The assessment during the Professional Placement year will include a reflective practice piece of work supported by evidence of achievement, and the employer’s appraisal. The performance and attendance will be regularly monitored through the placement year. The marking of the placement is “pass” or “fail”.</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Postgraduate students are supported by:</w:t>
      </w:r>
    </w:p>
    <w:p w:rsidRPr="2030048C" w:rsidP="2030048C">
      <w:pPr>
        <w:numPr>
          <w:ilvl w:val="0"/>
          <w:numId w:val="16"/>
        </w:numPr>
        <w:ind w:left="720" w:hanging="360"/>
        <w:jc w:val="left"/>
        <w:rPr>
          <w:rFonts w:ascii="Arial" w:eastAsia="Arial" w:hAnsi="Arial" w:cs="Arial"/>
          <w:sz w:val="24"/>
          <w:szCs w:val="24"/>
        </w:rPr>
      </w:pPr>
    </w:p>
    <w:p w:rsidRPr="2030048C" w:rsidP="2030048C">
      <w:pPr>
        <w:numPr>
          <w:ilvl w:val="1"/>
          <w:numId w:val="16"/>
        </w:numPr>
        <w:ind w:left="1440" w:hanging="360"/>
        <w:jc w:val="left"/>
        <w:rPr>
          <w:rFonts w:ascii="Arial" w:eastAsia="Arial" w:hAnsi="Arial" w:cs="Arial"/>
          <w:sz w:val="24"/>
          <w:szCs w:val="24"/>
        </w:rPr>
      </w:pPr>
      <w:r w:rsidRPr="2030048C">
        <w:rPr>
          <w:rFonts w:ascii="Arial" w:eastAsia="Arial" w:hAnsi="Arial" w:cs="Arial"/>
          <w:sz w:val="24"/>
          <w:szCs w:val="24"/>
        </w:rPr>
        <w:t>A detailed induction programme in the first week of enrolment which includes mathematics and programming background diagnostics and support for students with diverse academic backgrounds. For example:</w:t>
      </w:r>
    </w:p>
    <w:p w:rsidRPr="2030048C" w:rsidP="2030048C">
      <w:pPr>
        <w:numPr>
          <w:ilvl w:val="2"/>
          <w:numId w:val="16"/>
        </w:numPr>
        <w:ind w:left="2160" w:hanging="360"/>
        <w:jc w:val="left"/>
        <w:rPr>
          <w:rFonts w:ascii="Arial" w:eastAsia="Arial" w:hAnsi="Arial" w:cs="Arial"/>
          <w:sz w:val="24"/>
          <w:szCs w:val="24"/>
        </w:rPr>
      </w:pPr>
      <w:r w:rsidRPr="2030048C">
        <w:rPr>
          <w:rFonts w:ascii="Arial" w:eastAsia="Arial" w:hAnsi="Arial" w:cs="Arial"/>
          <w:sz w:val="24"/>
          <w:szCs w:val="24"/>
        </w:rPr>
        <w:t>Students’ programming experience is explored during induction. Diagnostic self-assessment and self-directed learning materials for introductory Python have been developed within the in-house Nooblab system to prepare students unfamiliar with Python for the CI7520 module.</w:t>
      </w:r>
    </w:p>
    <w:p w:rsidRPr="2030048C" w:rsidP="2030048C">
      <w:pPr>
        <w:numPr>
          <w:ilvl w:val="2"/>
          <w:numId w:val="16"/>
        </w:numPr>
        <w:ind w:left="2160" w:hanging="360"/>
        <w:jc w:val="left"/>
        <w:rPr>
          <w:rFonts w:ascii="Arial" w:eastAsia="Arial" w:hAnsi="Arial" w:cs="Arial"/>
          <w:sz w:val="24"/>
          <w:szCs w:val="24"/>
        </w:rPr>
      </w:pPr>
      <w:r w:rsidRPr="2030048C">
        <w:rPr>
          <w:rFonts w:ascii="Arial" w:eastAsia="Arial" w:hAnsi="Arial" w:cs="Arial"/>
          <w:sz w:val="24"/>
          <w:szCs w:val="24"/>
        </w:rPr>
        <w:t>A mathematics and statistics “refresher” course is available following induction, as for other CSM postgraduate programmes.</w:t>
      </w:r>
    </w:p>
    <w:p w:rsidRPr="2030048C" w:rsidP="2030048C">
      <w:pPr>
        <w:numPr>
          <w:ilvl w:val="1"/>
          <w:numId w:val="16"/>
        </w:numPr>
        <w:ind w:left="1440" w:hanging="360"/>
        <w:jc w:val="left"/>
        <w:rPr>
          <w:rFonts w:ascii="Arial" w:eastAsia="Arial" w:hAnsi="Arial" w:cs="Arial"/>
          <w:sz w:val="24"/>
          <w:szCs w:val="24"/>
        </w:rPr>
      </w:pPr>
      <w:r w:rsidRPr="2030048C">
        <w:rPr>
          <w:rFonts w:ascii="Arial" w:eastAsia="Arial" w:hAnsi="Arial" w:cs="Arial"/>
          <w:sz w:val="24"/>
          <w:szCs w:val="24"/>
        </w:rPr>
        <w:t>Students Academic Success Centre (SASC), which supports students in their academic skills, English language, assessment and feedback interpretation, through daily drop-ins as well as online through the VLE (Canvas).  For CSM students in particular (but open to all) SASC incorporates:</w:t>
      </w:r>
    </w:p>
    <w:p w:rsidRPr="2030048C" w:rsidP="2030048C">
      <w:pPr>
        <w:numPr>
          <w:ilvl w:val="2"/>
          <w:numId w:val="16"/>
        </w:numPr>
        <w:ind w:left="2160" w:hanging="360"/>
        <w:jc w:val="left"/>
        <w:rPr>
          <w:rFonts w:ascii="Arial" w:eastAsia="Arial" w:hAnsi="Arial" w:cs="Arial"/>
          <w:sz w:val="24"/>
          <w:szCs w:val="24"/>
        </w:rPr>
      </w:pPr>
      <w:r w:rsidRPr="2030048C">
        <w:rPr>
          <w:rFonts w:ascii="Arial" w:eastAsia="Arial" w:hAnsi="Arial" w:cs="Arial"/>
          <w:sz w:val="24"/>
          <w:szCs w:val="24"/>
        </w:rPr>
        <w:t>Programming Aid for drop-in software development support; and</w:t>
      </w:r>
    </w:p>
    <w:p w:rsidRPr="2030048C" w:rsidP="2030048C">
      <w:pPr>
        <w:numPr>
          <w:ilvl w:val="2"/>
          <w:numId w:val="16"/>
        </w:numPr>
        <w:ind w:left="2160" w:hanging="360"/>
        <w:jc w:val="left"/>
        <w:rPr>
          <w:rFonts w:ascii="Arial" w:eastAsia="Arial" w:hAnsi="Arial" w:cs="Arial"/>
          <w:sz w:val="24"/>
          <w:szCs w:val="24"/>
        </w:rPr>
      </w:pPr>
      <w:r w:rsidRPr="2030048C">
        <w:rPr>
          <w:rFonts w:ascii="Arial" w:eastAsia="Arial" w:hAnsi="Arial" w:cs="Arial"/>
          <w:sz w:val="24"/>
          <w:szCs w:val="24"/>
        </w:rPr>
        <w:t>MathsAid for mathematics and statistics support (</w:t>
      </w:r>
      <w:r w:rsidRPr="2030048C">
        <w:rPr>
          <w:rFonts w:ascii="Arial" w:eastAsia="Arial" w:hAnsi="Arial" w:cs="Arial"/>
          <w:sz w:val="24"/>
          <w:szCs w:val="24"/>
        </w:rPr>
        <w:t>Both are run by CSM academic staff or postgraduate &amp; PhD students)</w:t>
      </w:r>
    </w:p>
    <w:p w:rsidRPr="2030048C" w:rsidP="2030048C">
      <w:pPr>
        <w:numPr>
          <w:ilvl w:val="2"/>
          <w:numId w:val="16"/>
        </w:numPr>
        <w:ind w:left="2160" w:hanging="360"/>
        <w:jc w:val="left"/>
        <w:rPr>
          <w:rFonts w:ascii="Arial" w:eastAsia="Arial" w:hAnsi="Arial" w:cs="Arial"/>
          <w:sz w:val="24"/>
          <w:szCs w:val="24"/>
        </w:rPr>
      </w:pPr>
      <w:r w:rsidRPr="2030048C">
        <w:rPr>
          <w:rFonts w:ascii="Arial" w:eastAsia="Arial" w:hAnsi="Arial" w:cs="Arial"/>
          <w:sz w:val="24"/>
          <w:szCs w:val="24"/>
        </w:rPr>
        <w:t xml:space="preserve">Advice on generic study skills is also available on the VLE (Canvas), to which all students have access; this includes advice on writing, oral communication, numeracy, problem-solving and career management, amongst others. </w:t>
      </w:r>
    </w:p>
    <w:p w:rsidRPr="2030048C" w:rsidP="2030048C">
      <w:pPr>
        <w:numPr>
          <w:ilvl w:val="0"/>
          <w:numId w:val="16"/>
        </w:numPr>
        <w:ind w:left="720" w:hanging="360"/>
        <w:jc w:val="left"/>
        <w:rPr>
          <w:rFonts w:ascii="Arial" w:eastAsia="Arial" w:hAnsi="Arial" w:cs="Arial"/>
          <w:sz w:val="24"/>
          <w:szCs w:val="24"/>
        </w:rPr>
      </w:pPr>
    </w:p>
    <w:p w:rsidRPr="2030048C" w:rsidP="2030048C">
      <w:pPr>
        <w:numPr>
          <w:ilvl w:val="1"/>
          <w:numId w:val="16"/>
        </w:numPr>
        <w:ind w:left="1440" w:hanging="360"/>
        <w:jc w:val="left"/>
        <w:rPr>
          <w:rFonts w:ascii="Arial" w:eastAsia="Arial" w:hAnsi="Arial" w:cs="Arial"/>
          <w:sz w:val="24"/>
          <w:szCs w:val="24"/>
        </w:rPr>
      </w:pPr>
      <w:r w:rsidRPr="2030048C">
        <w:rPr>
          <w:rFonts w:ascii="Arial" w:eastAsia="Arial" w:hAnsi="Arial" w:cs="Arial"/>
          <w:sz w:val="24"/>
          <w:szCs w:val="24"/>
        </w:rPr>
        <w:t>The Course Leader-led Personal Tutor Scheme aims to help students in their studies, with a combination of staff and peer support.  It is recognised that students studying the MSc Artificial Intelligence come from a variety of backgrounds, including those who are in employment, returning to study after a break, recent graduates from Kingston University and other UK institutions and international students. These various experiences and backgrounds contribute to the peer support built into the Personal Tutor Scheme. At the beginning of the year and throughout, tutors and students will discuss: available resources to help students getting started at Kingston University and transitioning from undergraduate to postgraduate study; maths aid, employability, CV and cover letter writing, and ‘skills gap analysis’; academic progress during studies, including formative and summative feedback and how this can be used to feed-forward to improve performance; and preparation for the research project.</w:t>
      </w:r>
    </w:p>
    <w:p w:rsidRPr="2030048C" w:rsidP="2030048C">
      <w:pPr>
        <w:numPr>
          <w:ilvl w:val="1"/>
          <w:numId w:val="16"/>
        </w:numPr>
        <w:ind w:left="1440" w:hanging="360"/>
        <w:jc w:val="left"/>
        <w:rPr>
          <w:rFonts w:ascii="Arial" w:eastAsia="Arial" w:hAnsi="Arial" w:cs="Arial"/>
          <w:sz w:val="24"/>
          <w:szCs w:val="24"/>
        </w:rPr>
      </w:pPr>
      <w:r w:rsidRPr="2030048C">
        <w:rPr>
          <w:rFonts w:ascii="Arial" w:eastAsia="Arial" w:hAnsi="Arial" w:cs="Arial"/>
          <w:sz w:val="24"/>
          <w:szCs w:val="24"/>
        </w:rPr>
        <w:t>Students are encouraged to discuss academic and pastoral concerns with their Course Leader. All academic staff operate a system of open office support hours during which students can consult with their lecturers.  Additional assistance is also available through the Union of Kingston Students, the Dyslexia and Disability Support Office, and the Careers &amp; Employability Service.</w:t>
      </w:r>
    </w:p>
    <w:p w:rsidRPr="2030048C" w:rsidP="2030048C">
      <w:pPr>
        <w:numPr>
          <w:ilvl w:val="1"/>
          <w:numId w:val="16"/>
        </w:numPr>
        <w:ind w:left="1440" w:hanging="360"/>
        <w:jc w:val="left"/>
        <w:rPr>
          <w:rFonts w:ascii="Arial" w:eastAsia="Arial" w:hAnsi="Arial" w:cs="Arial"/>
          <w:sz w:val="24"/>
          <w:szCs w:val="24"/>
        </w:rPr>
      </w:pPr>
      <w:r w:rsidRPr="2030048C">
        <w:rPr>
          <w:rFonts w:ascii="Arial" w:eastAsia="Arial" w:hAnsi="Arial" w:cs="Arial"/>
          <w:sz w:val="24"/>
          <w:szCs w:val="24"/>
        </w:rPr>
        <w:t>Elected/appointed Student Representatives who can report to the Student Voice Committee meetings with feedback from students on the course specific to the modules and the course in general.</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Committees (SVC)</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Subject Review undertaken at subject level</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MEQs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CI7521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jpeg"/><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E86F8AE-F8D8-48EE-9F98-72A2734E670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