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Artificial Intelligence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23/02/2026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Educare Global Academy, Singapore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Artificial Intelligence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Artificial Intelligence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Artificial Intelligence</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PFARI1ARI20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Campuses- Singapore, ChinaTown campus, Mountbatten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CellSpacing w:w="15" w:type="dxa"/>
              <w:tblCellMar>
                <w:top w:w="15" w:type="dxa"/>
                <w:left w:w="15" w:type="dxa"/>
                <w:bottom w:w="15" w:type="dxa"/>
                <w:right w:w="15" w:type="dxa"/>
              </w:tblCellMar>
            </w:tblPr>
            <w:tblGrid>
              <w:gridCol w:w="5674"/>
            </w:tblGrid>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for the MSc programme are normally expected to hold a good honours degree (or recognised equivalent) in a relevant discipline such as: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Robotics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Artificial Intelligence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Computer Science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Software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Mechatronics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Electrical or Electronic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Mechanical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Automation or Control Systems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Data Science or Machine Learning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Mathematics, Physics, or other closely related technical disciplines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Qualifications awarded by recognised universities in Singapore and the wider region will be considered, including degrees from public and private institutions accredited by relevant national authorities.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the following qualifications may be considered:</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Bachelor’s degree in a relevant discipline from a recognised university or accredited private institution</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relevant Graduate Diploma or Postgraduate Diploma with strong academic performance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Polytechnic Diplomas in engineering or computing-related areas, particularly those with strong mathematical and programming components combined with substantial relevant work experience may also be considered on a case-by-case basis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from other countries in the region will be assessed based on:</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Equivalence of their qualification to a UK honours degree</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performance and subject relevance</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Professional experience in engineering or computing-related fields (where applicable)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Non-standard entry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who do not hold a first degree may still be considered if they can demonstrate:</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At least 5 years of relevant professional experience in engineering or computing-related areas</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Evidence of technical capability and readiness for postgraduate study</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Strong motivation and potential to succeed at MSc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Such applications will be reviewed individually and may involve an interview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whose first language is not English must demonstrate proficiency equivalent to:</w:t>
                  </w:r>
                </w:p>
                <w:p w:rsidRPr="2030048C" w:rsidP="2030048C">
                  <w:pPr>
                    <w:numPr>
                      <w:ilvl w:val="0"/>
                      <w:numId w:val="16"/>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w:t>
                  </w:r>
                </w:p>
                <w:p w:rsidRPr="2030048C" w:rsidP="2030048C">
                  <w:pPr>
                    <w:numPr>
                      <w:ilvl w:val="1"/>
                      <w:numId w:val="16"/>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Overall score: 6.5</w:t>
                  </w:r>
                </w:p>
                <w:p w:rsidRPr="2030048C" w:rsidP="2030048C">
                  <w:pPr>
                    <w:numPr>
                      <w:ilvl w:val="1"/>
                      <w:numId w:val="16"/>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Writing: minimum 6.0</w:t>
                  </w:r>
                </w:p>
                <w:p w:rsidRPr="2030048C" w:rsidP="2030048C">
                  <w:pPr>
                    <w:numPr>
                      <w:ilvl w:val="1"/>
                      <w:numId w:val="16"/>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Reading, Listening, Speaking: minimum 5.5</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w:t>
                  </w:r>
                </w:p>
                <w:p w:rsidRPr="2030048C" w:rsidP="2030048C">
                  <w:pPr>
                    <w:numPr>
                      <w:ilvl w:val="0"/>
                      <w:numId w:val="17"/>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TOEFL iBT</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Overall score: 88</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Writing: 20</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Reading: 20</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Listening: 17</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Speaking: 20</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Recognised English qualifications (regional equivalents)</w:t>
                  </w:r>
                </w:p>
                <w:p w:rsidRPr="2030048C" w:rsidP="2030048C">
                  <w:pPr>
                    <w:numPr>
                      <w:ilvl w:val="0"/>
                      <w:numId w:val="18"/>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Singapore GCE O-Level English – Credit or above</w:t>
                  </w:r>
                </w:p>
                <w:p w:rsidRPr="2030048C" w:rsidP="2030048C">
                  <w:pPr>
                    <w:numPr>
                      <w:ilvl w:val="0"/>
                      <w:numId w:val="18"/>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Diploma or Degree qualifications delivered fully in English</w:t>
                  </w:r>
                </w:p>
                <w:p w:rsidRPr="2030048C" w:rsidP="2030048C">
                  <w:pPr>
                    <w:numPr>
                      <w:ilvl w:val="0"/>
                      <w:numId w:val="18"/>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Approved English for Academic Purposes (EAP) programmes at recognised institutions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qualifications from regional partners will be assessed for equivalency in line with Kingston University regulations.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MSc in Artificial Intelligence (AI) offers a comprehensive range of modules that cover cutting-edge algorithms, tools, and techniques in the field of AI. These modules are designed to align with the growing market opportunities in various areas, including big data, data mining, machine learning, deep learning and their direct application in Computer Vision, Natural Language Processing, and Cyber Security.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principal aim of the course is:</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 strong foundation in the theoretical aspects of AI technologies, enabling them to apply these algorithms to real-world data and develop intelligent systems ready for deployment.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is ideal for students that wish to develop and apply computing skills in this domain that is widely used throughout industries and the public sector.</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modules are structured in a way that follows the typical roadmap of an AI project, ensuring a systematic approach to learning. Most importantly, elective modules are available to allow students to specialise and focus on specific areas of interest. The compulsory modules include Applied Data Programming, Ethics &amp; Regulation in AI, and Machine Learning &amp; Deep Learning. These modules provide a broad understanding of AI principles and applications. The elective modules include Cyber &amp; AI Applications, Natural Language Processing, and Computer Vision. These modules offer students the opportunity to delve deeper into specialised areas within AI, depending on their chosen stream of study.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evaluate essential concepts, theories, principles, and practices of computer science that underpin Artificial Intelligence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 or models.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Create, develop and critically evaluate specifications for specialist computer systems involving AI and communicate these specifications to other computing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key ethical, legal, social and commercial and other human factors that affect the design, development and deployment of Artificial Intelligence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and draw new conclusions from disparate and potentially incomplete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and modify established systems, AI models, techniques and tools to model, develop and build computer-based AI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current developments and future trends in Artificial Intelligence.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evaluate and advise on the development of AI models to ensure they meet the needs of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plan, design, implement, evaluate and deliver AI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security issues and evaluate risk in the context of Artificial Intelligence.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Create and implement software solutions involving AI using a variety of programming languages, environments and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appraise and identify appropriate ways that data and information can be stored and processed using Artificial Intelligence in ways appropriate to the context of different uses.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environments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Keep up-to-date in the Artificial Intelligence profession through relevant literature, research and using professional networks.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their professional development and the structure of the placement organisation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develop appropriate methods and any relevant computer applications, to assist in the solution of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Relate academic theory to practice, develop and practise key personal and employability skills and show examples of the application of these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made up of four core taught modules in total worth 90 credits, two option modules (total: 30 credits) that have to be chosen worth 15 credits each and an individual project worth 60 credits. 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three elective modules should function as practical applications of the machine learning and deep learning concepts introduced in the 30-credit core module CI7520. Additionally, students are expected to extend the topics covered in the taught modules and treat the Dissertation module (CI7000) as an exemplary AI project. This project should not only demonstrate students' domain knowledge but also showcase their practical skills.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target of our course extends well beyond covering the main theories of contemporary AI applications. Our primary goal is to prepare our graduates for the industry by focusing extensively on real-world commercial applications and full enterprise architecture. In the current industry, there are AI research-oriented staff who understand AI theory very well but struggle to commercially implement or integrate it into an enterprise platform due to a lack of understanding of system engineering and architecture principles. Conversely, there are very good software engineers who understand best software practices but struggle to efficiently integrate AI components due to a lack of understanding of AI theory. As a result, they use AI as a black-box component without being able to efficiently customise it to meet application needs, which affects the performance, reliability, efficiency, operational cost, and other aspects of the final product.</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Artificial Intelligence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Artificial Intelligence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Applied Data Programming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Big Data and Data Mining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Ethics and Regulation of Artificial Intelligence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 and Deep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Computer Vision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CI7523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Cyber Security and Artificial Intelligence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CI7526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Natural Language Processing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CI7525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CI7522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CI7521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CI7524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January and May intake</w:t>
      </w:r>
    </w:p>
    <w:p w:rsidRPr="2030048C" w:rsidP="2030048C">
      <w:pPr>
        <w:rPr>
          <w:rFonts w:ascii="Arial" w:eastAsia="Arial" w:hAnsi="Arial" w:cs="Arial"/>
          <w:sz w:val="24"/>
          <w:szCs w:val="24"/>
        </w:rPr>
      </w:pPr>
      <w:r w:rsidRPr="2030048C">
        <w:rPr>
          <w:rFonts w:ascii="Arial" w:eastAsia="Arial" w:hAnsi="Arial" w:cs="Arial"/>
          <w:sz w:val="24"/>
          <w:szCs w:val="24"/>
        </w:rPr>
        <w:t>January intake:</w:t>
      </w:r>
    </w:p>
    <w:tbl>
      <w:tblPr>
        <w:tblCellSpacing w:w="15" w:type="dxa"/>
        <w:tblCellMar>
          <w:top w:w="15" w:type="dxa"/>
          <w:left w:w="15" w:type="dxa"/>
          <w:bottom w:w="15" w:type="dxa"/>
          <w:right w:w="15" w:type="dxa"/>
        </w:tblCellMar>
      </w:tblPr>
      <w:tblGrid>
        <w:gridCol w:w="4749"/>
      </w:tblGrid>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Cryptography and Applications TB1</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Network and Information Security TB2</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Project Dissertation SPAN TB2-TB1</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Advanced Data Communication and AI TB2 </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Cloud Computing and Networking TB1</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Cyber and Artificial Intelligence TB2</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Mobile Security TB1</w:t>
            </w:r>
          </w:p>
          <w:p w:rsidRPr="2030048C" w:rsidP="2030048C">
            <w:pPr>
              <w:bidi w:val="0"/>
              <w:rPr>
                <w:rFonts w:ascii="Arial" w:eastAsia="Arial" w:hAnsi="Arial" w:cs="Arial"/>
                <w:sz w:val="24"/>
                <w:szCs w:val="24"/>
              </w:rPr>
            </w:pPr>
            <w:r w:rsidRPr="2030048C">
              <w:rPr>
                <w:rFonts w:ascii="Arial" w:eastAsia="Arial" w:hAnsi="Arial" w:cs="Arial"/>
                <w:sz w:val="24"/>
                <w:szCs w:val="24"/>
              </w:rPr>
              <w:t>May intake</w:t>
            </w:r>
          </w:p>
          <w:tbl>
            <w:tblPr>
              <w:tblCellSpacing w:w="15" w:type="dxa"/>
              <w:tblCellMar>
                <w:top w:w="15" w:type="dxa"/>
                <w:left w:w="15" w:type="dxa"/>
                <w:bottom w:w="15" w:type="dxa"/>
                <w:right w:w="15" w:type="dxa"/>
              </w:tblCellMar>
            </w:tblPr>
            <w:tblGrid>
              <w:gridCol w:w="4672"/>
            </w:tblGrid>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Cryptography and Applications TB1</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Network and Information Security TB3 </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Project Dissertation SPAN TB3-TB1</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Advanced Data Communication and AI TB3</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Cloud Computing and Networking TB1</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Cyber and Artificial Intelligence TB3</w:t>
                  </w:r>
                </w:p>
              </w:tc>
            </w:tr>
            <w:tr>
              <w:tc>
                <w:tcPr>
                  <w:noWrap w:val="0"/>
                  <w:tcMar>
                    <w:top w:w="15" w:type="dxa"/>
                    <w:left w:w="15" w:type="dxa"/>
                    <w:bottom w:w="15" w:type="dxa"/>
                    <w:right w:w="15" w:type="dxa"/>
                  </w:tcMar>
                  <w:vAlign w:val="center"/>
                  <w:hideMark/>
                </w:tcPr>
                <w:p w:rsidRPr="2030048C" w:rsidP="2030048C">
                  <w:pPr>
                    <w:bidi w:val="0"/>
                    <w:rPr>
                      <w:rFonts w:ascii="Arial" w:eastAsia="Arial" w:hAnsi="Arial" w:cs="Arial"/>
                      <w:sz w:val="24"/>
                      <w:szCs w:val="24"/>
                    </w:rPr>
                  </w:pPr>
                  <w:r w:rsidRPr="2030048C">
                    <w:rPr>
                      <w:rFonts w:ascii="Arial" w:eastAsia="Arial" w:hAnsi="Arial" w:cs="Arial"/>
                      <w:sz w:val="24"/>
                      <w:szCs w:val="24"/>
                    </w:rPr>
                    <w:t>Mobile Security TB1</w:t>
                  </w:r>
                </w:p>
              </w:tc>
            </w:tr>
          </w:tbl>
          <w:p w:rsidRPr="2030048C">
            <w:pPr>
              <w:rPr>
                <w:rFonts w:ascii="Arial" w:eastAsia="Arial" w:hAnsi="Arial" w:cs="Arial"/>
                <w:sz w:val="24"/>
                <w:szCs w:val="24"/>
              </w:rPr>
            </w:pP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multilevel"/>
    <w:tmpl w:val="74989B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04CFECF-C809-4817-8DA8-30CF672CAE4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