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Robotic Engineering and Artificial Intelligence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Robotic Engineering and Artificial Intelligence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Robotic Engineering and Artificial Intelligence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Robotic Engineering and Artificial Intelligence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Robotic Engineering and Artificial Intelligence</w:t>
            </w:r>
            <w:r>
              <w:br/>
            </w:r>
            <w:r w:rsidRPr="2030048C" w:rsidR="71C545CA">
              <w:rPr>
                <w:rFonts w:ascii="Arial" w:eastAsia="Arial" w:hAnsi="Arial" w:cs="Arial"/>
                <w:b w:val="0"/>
                <w:bCs w:val="0"/>
                <w:sz w:val="24"/>
                <w:szCs w:val="24"/>
                <w:lang w:val="en-GB"/>
              </w:rPr>
              <w:t>BEng Robotic Engineering and Artificial Intelligence</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UFRAI1RAI80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ab/>
              <w:t>H900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Robotic Engineering and Artificial Intelligence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Robotic Engineering and Artificial Intelligence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Robotic Engineering and Artificial Intelligence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Robotic Engineering and Artificial Intelligence with Professional Placement</w:t>
            </w:r>
            <w:r>
              <w:br/>
            </w:r>
            <w:r w:rsidRPr="2030048C" w:rsidR="71C545CA">
              <w:rPr>
                <w:rFonts w:ascii="Arial" w:eastAsia="Arial" w:hAnsi="Arial" w:cs="Arial"/>
                <w:b w:val="0"/>
                <w:bCs w:val="0"/>
                <w:sz w:val="24"/>
                <w:szCs w:val="24"/>
                <w:lang w:val="en-GB"/>
              </w:rPr>
              <w:t>BEng Robotic Engineering and Artificial Intelligence with Professional Placement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USRAI1RAI41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 accredited yet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To comply with the Engineering Council regulations, a maximum of 30 credits in the programme can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Emphasising the acquisition of Future Skills that businesses value, the general aim of the Robotic Engineering and Artificial Intelligence course is to equip students with the theoretical and practical knowledge necessary to design, analyse and implement robotic systems powered by cutting-edge artificial intelligence technologies, preparing students for career paths in fields such as robotics, automation, artificial intelligence development and advanced manufacturing in our increasingly interconnected and technologically advanced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More specific aims of the course are to: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equip students with a multidisciplinary skill set and knowledge base by offering comprehensive modules throughout the programme that span across various disciplines within the field of robotic engineering and artificial intelligence.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students’ analytical and problem-solving skills, along with their ability to evaluate evidence, assumptions and artificial intelligence ethics to reach sound judgements, and to effectively communicate their ideas in this technological domain.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furnish students with the leadership skills and know-how needed to generate new knowledge through research and development, as required for top-tier artificial intelligence and robotics professionals.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equip students with the research and employability skills required for postgraduate study and work in the artificial intelligence and robotics industry and related sectors.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graduates with a comprehensive understanding of key aspects of robotic systems and artificial intelligence as well as the creativity and technical skills to solve design and programming problems.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foster graduates’ understanding of sustainability, ethics and health and safety within the robotic and artificial intelligence disciplines, and the reflective skills to continually develop themselves professionally.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ensure that graduates have the ability and confidence to take on leadership roles in major robotic and artificial intelligence-driven projects.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optimise robotic systems and artificial intelligence algorithms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analyse complex robotic engineering and artificial intelligence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robotic systems and artificial intelligence components and algorithms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robotic systems and artificial intelligence, including power management, control algorithms and communication protocols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robotic systems and artificial intelligence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equipment, engineering technologies and processes for manufacturing and assembling electronic and robotic components and systems, recognising their limitations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materials, devices and technologies used in robotic engineering and artificial intelligence,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critically evaluate and synthesise technical literature and other sources of information to solve complex robotic engineering and artificial intelligence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robotic systems and artificial intelligence algorithms,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apply artificial intelligence algorithms for robotic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robotic systems and artificial intelligence algorithms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knowledge of engineering management principles, commercial context, project and change management and relevant legal matters including intellectual property rights.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robotic systems and artificial intelligence applications, designing solutions that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related to robotic engineering and artificial intelligence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 evaluating the effectiveness of own and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new developments in the field of robotic engineering and artificial intelligence, and their potential impact on industry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process to identify, evaluate and mitigate risks associated with robotic engineering and artificial intelligence projects or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matters related to robotic engineering and artificial intelligence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relevant theoretical principles and discipline-specific knowledge to practical tasks and projects within an industrial setting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recognise the responsibilities, benefits, and importance of supporting equality, diversity and inclusion in robotic engineering and artificial intelligence projects and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Adopt a holistic and proportionate approach to the mitigation of security risks associated with robotic engineering and artificial intelligence projects and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apply advanced software tools for applications in robotics.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experiences gained during the placement to identify opportunities for further development of skills and engineering competencies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Maintain professional conduct by adhering to organisational policies and procedures and effectively collaborating within a team within an industrial setting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implement and test the key components required for a complex robotics system using appropriate physical, simulated or virtual environments, for applications in robotics and AI.</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undergraduate Robotic Engineering and Artificial Intelligence programme at Kingston University is structured around four main themes designed to provide students with a comprehensive understanding of robotic systems and artificial intelligence (AI) principles and practices. The first theme focuses on developing a solid foundation in core engineering concepts such as robot mechanics, programming, control systems and artificial intelligence principles, which are essential for solving complex problems in the field. The second theme broadens students’ knowledge base by introducing them to advanced topics such as machine learning, autonomous systems, computer vision and sensor fusion. The third theme is dedicated to introducing students to the professional practice of robotic engineering and Artificial Intelligence (AI), covering topics such as project management, quality assurance, business management and AI ethics. Finally, the programme incorporates a strong design theme that is woven throughout all the other themes. This theme emphasises the importance of a systems approach to engineering design and the development of practical skills such as communication, teamwork, problem-solving, and design thinking in the context of robotics and artificial intelligence.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Navigate with Microcontroller Project.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Exploring Robotic Engineering Project Management.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Engineering </w:t>
      </w:r>
      <w:r w:rsidRPr="2030048C">
        <w:rPr>
          <w:rFonts w:ascii="Arial" w:eastAsia="Arial" w:hAnsi="Arial" w:cs="Arial"/>
          <w:color w:val="000000" w:themeColor="text1" w:themeShade="FF" w:themeTint="FF"/>
          <w:sz w:val="24"/>
          <w:szCs w:val="24"/>
        </w:rPr>
        <w:t xml:space="preserve">Programme Specification for details of the level 3/first year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Robotic Engineering and Artificial Intelligence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Design and Manufacture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Electronics, Robotics and AI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Microcontroller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Robotic Engineering and Artificial Intelligence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Mathematics and Control Theory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Robotic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Machine Learning and Computer Vision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Robotic Modelling and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permits progression from Level 5 to Level 6 with 90 credits at Level 5 or above. The outstanding 30 credits from Level 5 can be trailed into Level 6 and must be passed before consideration for an award or progression to level 7. Students exiting the programme at this point who have successfully completed 120 credits at Level 5 or above are eligible for the award of Diploma of Higher Education in Robotic Engineering and Artificial Intelligence.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Communication Systems and Digital Signal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Industrial Robot Motion Planning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N/A</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Bio-inspired Robotics with Reinforcement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 and Human Robot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MEng Team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Sensors, Actuators and Embedded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Robotic Engineering and Artificial Intelligence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Robotic Engineering and Artificial Intelligence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rPr>
          <w:rFonts w:ascii="Arial" w:eastAsia="Arial" w:hAnsi="Arial" w:cs="Arial"/>
          <w:sz w:val="24"/>
          <w:szCs w:val="24"/>
        </w:rPr>
      </w:pPr>
      <w:r w:rsidRPr="2030048C">
        <w:rPr>
          <w:rFonts w:ascii="Arial" w:eastAsia="Arial" w:hAnsi="Arial" w:cs="Arial"/>
          <w:sz w:val="24"/>
          <w:szCs w:val="24"/>
        </w:rPr>
        <w:t>· Laboratory Sessions</w:t>
      </w:r>
    </w:p>
    <w:p w:rsidRPr="2030048C" w:rsidP="2030048C">
      <w:pPr>
        <w:rPr>
          <w:rFonts w:ascii="Arial" w:eastAsia="Arial" w:hAnsi="Arial" w:cs="Arial"/>
          <w:sz w:val="24"/>
          <w:szCs w:val="24"/>
        </w:rPr>
      </w:pPr>
      <w:r w:rsidRPr="2030048C">
        <w:rPr>
          <w:rFonts w:ascii="Arial" w:eastAsia="Arial" w:hAnsi="Arial" w:cs="Arial"/>
          <w:sz w:val="24"/>
          <w:szCs w:val="24"/>
        </w:rPr>
        <w:t>· Lectures</w:t>
      </w:r>
    </w:p>
    <w:p w:rsidRPr="2030048C" w:rsidP="2030048C">
      <w:pPr>
        <w:rPr>
          <w:rFonts w:ascii="Arial" w:eastAsia="Arial" w:hAnsi="Arial" w:cs="Arial"/>
          <w:sz w:val="24"/>
          <w:szCs w:val="24"/>
        </w:rPr>
      </w:pPr>
      <w:r w:rsidRPr="2030048C">
        <w:rPr>
          <w:rFonts w:ascii="Arial" w:eastAsia="Arial" w:hAnsi="Arial" w:cs="Arial"/>
          <w:sz w:val="24"/>
          <w:szCs w:val="24"/>
        </w:rPr>
        <w:t>· Seminars</w:t>
      </w:r>
    </w:p>
    <w:p w:rsidRPr="2030048C" w:rsidP="2030048C">
      <w:pPr>
        <w:rPr>
          <w:rFonts w:ascii="Arial" w:eastAsia="Arial" w:hAnsi="Arial" w:cs="Arial"/>
          <w:sz w:val="24"/>
          <w:szCs w:val="24"/>
        </w:rPr>
      </w:pPr>
      <w:r w:rsidRPr="2030048C">
        <w:rPr>
          <w:rFonts w:ascii="Arial" w:eastAsia="Arial" w:hAnsi="Arial" w:cs="Arial"/>
          <w:sz w:val="24"/>
          <w:szCs w:val="24"/>
        </w:rPr>
        <w:t>· Tutorials</w:t>
      </w:r>
    </w:p>
    <w:p w:rsidRPr="2030048C" w:rsidP="2030048C">
      <w:pPr>
        <w:rPr>
          <w:rFonts w:ascii="Arial" w:eastAsia="Arial" w:hAnsi="Arial" w:cs="Arial"/>
          <w:sz w:val="24"/>
          <w:szCs w:val="24"/>
        </w:rPr>
      </w:pPr>
      <w:r w:rsidRPr="2030048C">
        <w:rPr>
          <w:rFonts w:ascii="Arial" w:eastAsia="Arial" w:hAnsi="Arial" w:cs="Arial"/>
          <w:sz w:val="24"/>
          <w:szCs w:val="24"/>
        </w:rPr>
        <w:t>· Workshops</w:t>
      </w:r>
    </w:p>
    <w:p w:rsidRPr="2030048C" w:rsidP="2030048C">
      <w:pPr>
        <w:rPr>
          <w:rFonts w:ascii="Arial" w:eastAsia="Arial" w:hAnsi="Arial" w:cs="Arial"/>
          <w:sz w:val="24"/>
          <w:szCs w:val="24"/>
        </w:rPr>
      </w:pPr>
      <w:r w:rsidRPr="2030048C">
        <w:rPr>
          <w:rFonts w:ascii="Arial" w:eastAsia="Arial" w:hAnsi="Arial" w:cs="Arial"/>
          <w:sz w:val="24"/>
          <w:szCs w:val="24"/>
        </w:rPr>
        <w:t>· 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w:t>
      </w:r>
    </w:p>
    <w:p w:rsidRPr="2030048C" w:rsidP="2030048C">
      <w:pPr>
        <w:rPr>
          <w:rFonts w:ascii="Arial" w:eastAsia="Arial" w:hAnsi="Arial" w:cs="Arial"/>
          <w:sz w:val="24"/>
          <w:szCs w:val="24"/>
        </w:rPr>
      </w:pPr>
      <w:r w:rsidRPr="2030048C">
        <w:rPr>
          <w:rFonts w:ascii="Arial" w:eastAsia="Arial" w:hAnsi="Arial" w:cs="Arial"/>
          <w:sz w:val="24"/>
          <w:szCs w:val="24"/>
        </w:rPr>
        <w:t>· A Course Leader to help students understand the course structure</w:t>
      </w:r>
    </w:p>
    <w:p w:rsidRPr="2030048C" w:rsidP="2030048C">
      <w:pPr>
        <w:rPr>
          <w:rFonts w:ascii="Arial" w:eastAsia="Arial" w:hAnsi="Arial" w:cs="Arial"/>
          <w:sz w:val="24"/>
          <w:szCs w:val="24"/>
        </w:rPr>
      </w:pPr>
      <w:r w:rsidRPr="2030048C">
        <w:rPr>
          <w:rFonts w:ascii="Arial" w:eastAsia="Arial" w:hAnsi="Arial" w:cs="Arial"/>
          <w:sz w:val="24"/>
          <w:szCs w:val="24"/>
        </w:rPr>
        <w:t>· Personal Tutors to provide academic and personal support</w:t>
      </w:r>
    </w:p>
    <w:p w:rsidRPr="2030048C" w:rsidP="2030048C">
      <w:pPr>
        <w:rPr>
          <w:rFonts w:ascii="Arial" w:eastAsia="Arial" w:hAnsi="Arial" w:cs="Arial"/>
          <w:sz w:val="24"/>
          <w:szCs w:val="24"/>
        </w:rPr>
      </w:pPr>
      <w:r w:rsidRPr="2030048C">
        <w:rPr>
          <w:rFonts w:ascii="Arial" w:eastAsia="Arial" w:hAnsi="Arial" w:cs="Arial"/>
          <w:sz w:val="24"/>
          <w:szCs w:val="24"/>
        </w:rPr>
        <w:t>· Technical support to advise students on IT and the use of software</w:t>
      </w:r>
    </w:p>
    <w:p w:rsidRPr="2030048C" w:rsidP="2030048C">
      <w:pPr>
        <w:rPr>
          <w:rFonts w:ascii="Arial" w:eastAsia="Arial" w:hAnsi="Arial" w:cs="Arial"/>
          <w:sz w:val="24"/>
          <w:szCs w:val="24"/>
        </w:rPr>
      </w:pPr>
      <w:r w:rsidRPr="2030048C">
        <w:rPr>
          <w:rFonts w:ascii="Arial" w:eastAsia="Arial" w:hAnsi="Arial" w:cs="Arial"/>
          <w:sz w:val="24"/>
          <w:szCs w:val="24"/>
        </w:rPr>
        <w:t>· Student Voice Committee – to ensure the views of students are heard</w:t>
      </w:r>
    </w:p>
    <w:p w:rsidRPr="2030048C" w:rsidP="2030048C">
      <w:pPr>
        <w:rPr>
          <w:rFonts w:ascii="Arial" w:eastAsia="Arial" w:hAnsi="Arial" w:cs="Arial"/>
          <w:sz w:val="24"/>
          <w:szCs w:val="24"/>
        </w:rPr>
      </w:pPr>
      <w:r w:rsidRPr="2030048C">
        <w:rPr>
          <w:rFonts w:ascii="Arial" w:eastAsia="Arial" w:hAnsi="Arial" w:cs="Arial"/>
          <w:sz w:val="24"/>
          <w:szCs w:val="24"/>
        </w:rPr>
        <w:t>· Canvas – Kingston University’s Virtual Learning Environment</w:t>
      </w:r>
    </w:p>
    <w:p w:rsidRPr="2030048C" w:rsidP="2030048C">
      <w:pPr>
        <w:rPr>
          <w:rFonts w:ascii="Arial" w:eastAsia="Arial" w:hAnsi="Arial" w:cs="Arial"/>
          <w:sz w:val="24"/>
          <w:szCs w:val="24"/>
        </w:rPr>
      </w:pPr>
      <w:r w:rsidRPr="2030048C">
        <w:rPr>
          <w:rFonts w:ascii="Arial" w:eastAsia="Arial" w:hAnsi="Arial" w:cs="Arial"/>
          <w:sz w:val="24"/>
          <w:szCs w:val="24"/>
        </w:rPr>
        <w:t>· Student support facilities that can provide advice on issues such as finance, regulations, legal matters, accommodation, international student support</w:t>
      </w:r>
    </w:p>
    <w:p w:rsidRPr="2030048C" w:rsidP="2030048C">
      <w:pPr>
        <w:rPr>
          <w:rFonts w:ascii="Arial" w:eastAsia="Arial" w:hAnsi="Arial" w:cs="Arial"/>
          <w:sz w:val="24"/>
          <w:szCs w:val="24"/>
        </w:rPr>
      </w:pPr>
      <w:r w:rsidRPr="2030048C">
        <w:rPr>
          <w:rFonts w:ascii="Arial" w:eastAsia="Arial" w:hAnsi="Arial" w:cs="Arial"/>
          <w:sz w:val="24"/>
          <w:szCs w:val="24"/>
        </w:rPr>
        <w:t>· Disabled student support</w:t>
      </w:r>
    </w:p>
    <w:p w:rsidRPr="2030048C" w:rsidP="2030048C">
      <w:pPr>
        <w:rPr>
          <w:rFonts w:ascii="Arial" w:eastAsia="Arial" w:hAnsi="Arial" w:cs="Arial"/>
          <w:sz w:val="24"/>
          <w:szCs w:val="24"/>
        </w:rPr>
      </w:pPr>
      <w:r w:rsidRPr="2030048C">
        <w:rPr>
          <w:rFonts w:ascii="Arial" w:eastAsia="Arial" w:hAnsi="Arial" w:cs="Arial"/>
          <w:sz w:val="24"/>
          <w:szCs w:val="24"/>
        </w:rPr>
        <w:t>· The Kingston Students’ Union</w:t>
      </w:r>
    </w:p>
    <w:p w:rsidRPr="2030048C" w:rsidP="2030048C">
      <w:pPr>
        <w:rPr>
          <w:rFonts w:ascii="Arial" w:eastAsia="Arial" w:hAnsi="Arial" w:cs="Arial"/>
          <w:sz w:val="24"/>
          <w:szCs w:val="24"/>
        </w:rPr>
      </w:pPr>
      <w:r w:rsidRPr="2030048C">
        <w:rPr>
          <w:rFonts w:ascii="Arial" w:eastAsia="Arial" w:hAnsi="Arial" w:cs="Arial"/>
          <w:sz w:val="24"/>
          <w:szCs w:val="24"/>
        </w:rPr>
        <w:t>· 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Continuous Monitoring of courses through the Kingston Course Enhancement Programme (KCEP)</w:t>
      </w:r>
    </w:p>
    <w:p w:rsidR="3D0EBCB8" w:rsidRPr="2030048C" w:rsidP="2030048C">
      <w:pPr>
        <w:rPr>
          <w:rFonts w:ascii="Arial" w:eastAsia="Arial" w:hAnsi="Arial" w:cs="Arial"/>
          <w:sz w:val="24"/>
          <w:szCs w:val="24"/>
        </w:rPr>
      </w:pPr>
      <w:r w:rsidRPr="2030048C">
        <w:rPr>
          <w:rFonts w:ascii="Arial" w:eastAsia="Arial" w:hAnsi="Arial" w:cs="Arial"/>
          <w:sz w:val="24"/>
          <w:szCs w:val="24"/>
        </w:rPr>
        <w:t>· Student evaluation including Module Evaluation Questionnaires (MEQs), the National Student Survey (NSS)</w:t>
      </w:r>
    </w:p>
    <w:p w:rsidR="3D0EBCB8" w:rsidRPr="2030048C" w:rsidP="2030048C">
      <w:pPr>
        <w:rPr>
          <w:rFonts w:ascii="Arial" w:eastAsia="Arial" w:hAnsi="Arial" w:cs="Arial"/>
          <w:sz w:val="24"/>
          <w:szCs w:val="24"/>
        </w:rPr>
      </w:pPr>
      <w:r w:rsidRPr="2030048C">
        <w:rPr>
          <w:rFonts w:ascii="Arial" w:eastAsia="Arial" w:hAnsi="Arial" w:cs="Arial"/>
          <w:sz w:val="24"/>
          <w:szCs w:val="24"/>
        </w:rPr>
        <w:t>· 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35"/>
        <w:gridCol w:w="175"/>
        <w:gridCol w:w="448"/>
        <w:gridCol w:w="448"/>
        <w:gridCol w:w="442"/>
        <w:gridCol w:w="442"/>
        <w:gridCol w:w="454"/>
        <w:gridCol w:w="442"/>
        <w:gridCol w:w="442"/>
        <w:gridCol w:w="442"/>
        <w:gridCol w:w="454"/>
        <w:gridCol w:w="442"/>
        <w:gridCol w:w="442"/>
        <w:gridCol w:w="442"/>
        <w:gridCol w:w="442"/>
        <w:gridCol w:w="440"/>
        <w:gridCol w:w="2"/>
        <w:gridCol w:w="442"/>
        <w:gridCol w:w="454"/>
        <w:gridCol w:w="442"/>
        <w:gridCol w:w="43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8D74790-8F22-43D7-9A9D-EDDE4DC3604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