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FdEng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Applied Aircraft Engineering (on-line)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FdEng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Applied Aircraft Engineering (on-line)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UPAAE1AAE01</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2H60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Other (including cross KU site delivery)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requirements are successful completion of a CAT B licence training course and have successfully passed the approved examinations or equivalent from the Military.  Active students on a CAA/EASA licence course with a pass in the majority of their modules, will also be considered on an individual basis.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RPL (part of the entry requirements) </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 </w:t>
            </w:r>
          </w:p>
          <w:tbl>
            <w:tblPr>
              <w:tblStyle w:val="Table"/>
              <w:tblCellSpacing w:w="15" w:type="dxa"/>
              <w:tblCellMar>
                <w:top w:w="15" w:type="dxa"/>
                <w:left w:w="15" w:type="dxa"/>
                <w:bottom w:w="15" w:type="dxa"/>
                <w:right w:w="15" w:type="dxa"/>
              </w:tblCellMar>
              <w:tblLook w:val="05E0"/>
            </w:tblPr>
            <w:tblGrid>
              <w:gridCol w:w="1411"/>
              <w:gridCol w:w="3389"/>
              <w:gridCol w:w="296"/>
              <w:gridCol w:w="578"/>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EASA/CAA Modules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ind w:left="-2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Credits</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M1,M2 ,M8</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Aviation Maths, Physics and Aerodynamics</w:t>
                  </w:r>
                </w:p>
              </w:tc>
              <w:tc>
                <w:tcPr>
                  <w:noWrap w:val="0"/>
                  <w:tcMar>
                    <w:top w:w="15" w:type="dxa"/>
                    <w:left w:w="15" w:type="dxa"/>
                    <w:bottom w:w="15" w:type="dxa"/>
                    <w:right w:w="15" w:type="dxa"/>
                  </w:tcMar>
                  <w:vAlign w:val="center"/>
                  <w:hideMark/>
                </w:tcPr>
                <w:p w:rsidRPr="2030048C" w:rsidP="2030048C">
                  <w:pPr>
                    <w:ind w:right="2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jc w:val="righ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30</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M3,M4,M5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Electrical Electronic fundamentals and Digital Techniques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jc w:val="righ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30</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M8,M9,M10</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Human factors and Legislation</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jc w:val="righ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30</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M6,M11,M15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Aircraft Structures, Material, Systems and Propellers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jc w:val="righ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30</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Practical skills+M7</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Maintenance Practices and practical skills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jc w:val="righ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30</w:t>
                  </w:r>
                </w:p>
              </w:tc>
            </w:tr>
          </w:tbl>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This programme is not accredited</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Foundation Degree (FD) in Applied Aircraft Engineering is a part-time online programme.  The course is designed to develop the leadership tools, skills and qualifications required to enable aircraft maintenance engineers to progress into leadership and management positions.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One of the benefits of this part-time programme is that it gives access to Higher Education to working professionals that cannot afford two years of full-time study.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students will have different levels of leadership experience from different organisations.  Participation in the course provides an opportunity to work with colleagues from different organisations and with varying backgrounds and managerial experience to develop their own managerial skills and style as well as building community and networks. The sharing of their experience through working together on the course will widen their organisational and leadership knowledge.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additional knowledge, skills and understanding required to complete the Foundation Degree will be acquired through the completion of three modules delivered by Kingston University. The AE5302 and AE5300 modules will be taught through a series of online sessions, activities, and resources. In the case of AE5310, it will be based on an online portfolio developed throughout the programme.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Successful completion of this programme enables the student to progress to the final year of the BSc (Hons) Aircraft Engineering top-up programme. This course is accredited by the Royal Aeronautical Society (RAeS) as meeting the academic requirement for registration as an Incorporated Engineer. After the Foundation Degree programme has been validated, it will be presented to the RAeS for their approval.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programme adheres to the Kingston Academic Framework Curriculum Design Principles. The modules are designed in a holistic way to align with the programme learning outcomes.  A student-centred learning, teaching and assessment strategy has been designed with particular attention paid to the needs of part-time, online students.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programme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formal academic recognition to students for their RPL and enable them to access the top-up in Aircraft Engineering which will lead to</w:t>
      </w:r>
      <w:r w:rsidRPr="2030048C">
        <w:rPr>
          <w:rStyle w:val="normaltextrun"/>
          <w:rFonts w:ascii="Arial" w:hAnsi="Arial" w:cs="Arial"/>
          <w:color w:val="000000" w:themeColor="text1"/>
          <w:sz w:val="24"/>
          <w:szCs w:val="24"/>
          <w:shd w:val="clear" w:color="auto" w:fill="FFFFFF"/>
        </w:rPr>
        <w:t xml:space="preserve"> an accredited qualification </w:t>
      </w:r>
      <w:r w:rsidRPr="2030048C">
        <w:rPr>
          <w:rStyle w:val="normaltextrun"/>
          <w:rFonts w:ascii="Arial" w:hAnsi="Arial" w:cs="Arial"/>
          <w:color w:val="000000" w:themeColor="text1"/>
          <w:sz w:val="24"/>
          <w:szCs w:val="24"/>
          <w:shd w:val="clear" w:color="auto" w:fill="FFFFFF"/>
        </w:rPr>
        <w:t>at honours degree level.</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the opportunity to develop their written and oral communication skills.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aircraft maintenance engineers to develop the skills, tools and qualifications required by them to progress into </w:t>
      </w:r>
      <w:r w:rsidRPr="2030048C">
        <w:rPr>
          <w:rStyle w:val="normaltextrun"/>
          <w:rFonts w:ascii="Arial" w:hAnsi="Arial" w:cs="Arial"/>
          <w:color w:val="000000" w:themeColor="text1"/>
          <w:sz w:val="24"/>
          <w:szCs w:val="24"/>
          <w:shd w:val="clear" w:color="auto" w:fill="FFFFFF"/>
        </w:rPr>
        <w:t xml:space="preserve">leadership </w:t>
      </w:r>
      <w:r w:rsidRPr="2030048C">
        <w:rPr>
          <w:rStyle w:val="normaltextrun"/>
          <w:rFonts w:ascii="Arial" w:hAnsi="Arial" w:cs="Arial"/>
          <w:color w:val="000000"/>
          <w:sz w:val="24"/>
          <w:szCs w:val="24"/>
          <w:shd w:val="clear" w:color="auto" w:fill="FFFFFF"/>
        </w:rPr>
        <w:t xml:space="preserve">and management positions.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individual’s confidence, competence and leadership in aircraft maintenance by reflection on and evaluation of their practice.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continuous professional development by encouraging the use of personal development plans and introducing them to the Royal Aeronautical Society.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their knowledge and understanding of the essential facts, concepts, theories and principles that underpin both engineering in general and aircraft engineering in particular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the operation of aircraft systems and equipment particular to the trade for which they have studied, to carry out fault diagnosis and identification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and safely in an aircraft maintenance environment, whilst having due regard for the rules and regulations under which they must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Meet the knowledge requirements specified in EASA Part 66 for the category of EASA licence/CAA or equivalent for which they have been studying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evidence of their analytical and evaluative capabilities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scheduled and unscheduled maintenance, fault diagnosis and rectification and serviceability testing on complex aircraft systems particular to the trade for which they have studied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responsibilities and legal obligations of licensed aircraft maintenance engineers and the effects of them exercising their engineering judgement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the implications of their actions in relation to aircraft maintenance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tools and equipment found in a typical aircraft maintenance environment and to accurately follow verbal and written instructions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typical aircraft manuals and documentation correctly and effectively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their learning, identify strengths and weaknesses, set targets and develop action plans to meet them, and prioritise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adopt ‘good working practices’ by being able to select and follow appropriate and approved methods, procedures and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need for ensuring a clean working environment, to follow all safety precautions with regard to self, equipment and aircraft and to have a responsible attitude in respect to flight safety and airworthiness of aircraft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extract and collate information from a range of resources and present information in a style appropriate to purpose; including through presentation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ICT resources for communication and research, to retrieve and store information and data, and to produce documents incorporating different types of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part-time online mode and leads to the award of a Foundation Degree</w:t>
      </w:r>
      <w:r w:rsidRPr="2030048C">
        <w:rPr>
          <w:rFonts w:ascii="Arial" w:eastAsia="Arial" w:hAnsi="Arial" w:cs="Arial"/>
          <w:color w:val="000000"/>
          <w:sz w:val="24"/>
          <w:szCs w:val="24"/>
        </w:rPr>
        <w:t>.  The programme recognizes the learning required to pass a</w:t>
      </w:r>
      <w:r w:rsidRPr="2030048C">
        <w:rPr>
          <w:rFonts w:ascii="Arial" w:eastAsia="Arial" w:hAnsi="Arial" w:cs="Arial"/>
          <w:color w:val="000000" w:themeColor="text1" w:themeShade="FF" w:themeTint="FF"/>
          <w:sz w:val="24"/>
          <w:szCs w:val="24"/>
        </w:rPr>
        <w:t xml:space="preserve"> maintenance engineer’s licence</w:t>
      </w:r>
      <w:r w:rsidRPr="2030048C">
        <w:rPr>
          <w:rFonts w:ascii="Arial" w:eastAsia="Arial" w:hAnsi="Arial" w:cs="Arial"/>
          <w:color w:val="000000"/>
          <w:sz w:val="24"/>
          <w:szCs w:val="24"/>
        </w:rPr>
        <w:t xml:space="preserve"> maximum allowable RPL of 150 credits so further RPL is not possible.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0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Successful completion of this programme enables the student to progress to the final year of the BSc (Hons) Aircraft Engineering top up programme which is accredited by the Royal Aeronautical Society as meeting the academic requirement for registration as an Incorporated Engineer.   After the Foundation Degree programme has been validated, it will be presented to the Royal Aeronautical Society for their approval as an allowed route to the BSc (Hons) Aircraft Engineering.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b/>
          <w:bCs/>
          <w:color w:val="000000" w:themeColor="text1" w:themeShade="FF" w:themeTint="FF"/>
          <w:sz w:val="24"/>
          <w:szCs w:val="24"/>
        </w:rPr>
        <w:t>Work-based learning, including sandwich programmes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only available in part time mode, to those actively working as maintenance engineers.  It allows students to reflect upon their own personal experience of working in an applied setting, to focus on aspects of this experience that they can clearly relate to theoretical concepts and to evaluate the relationship between theory and practice.</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b/>
          <w:bCs/>
          <w:color w:val="000000" w:themeColor="text1" w:themeShade="FF" w:themeTint="FF"/>
          <w:sz w:val="24"/>
          <w:szCs w:val="24"/>
        </w:rPr>
        <w:t>Outline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consists of 240 credits, 120 at level 4 and 120 at level 5.  90 credits at level 4 and 60 credits at level 5 will be granted by RPL for students that have successfully passed all the EASA B1 or B2 examinations.  There will be three additional modules; one level 4 module worth 30 credits and two level 5 modules worth 30 credits each.</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FdEng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Applied Aircraft Engineering (on-line)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FdEng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Applied Aircraft Engineering (on-line)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Engineering Analysis and Communication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66934EB1" w:rsidP="2030048C" w14:paraId="33FA7816"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FdEng</w:t>
            </w:r>
            <w:r w:rsidRPr="2030048C">
              <w:rPr>
                <w:rFonts w:ascii="Arial" w:eastAsia="Arial" w:hAnsi="Arial" w:cs="Arial"/>
                <w:b/>
                <w:bCs/>
                <w:lang w:val="en-GB"/>
              </w:rPr>
              <w:t xml:space="preserve"> </w:t>
            </w:r>
            <w:r w:rsidRPr="2030048C">
              <w:rPr>
                <w:rFonts w:ascii="Arial" w:eastAsia="Arial" w:hAnsi="Arial" w:cs="Arial"/>
                <w:b/>
                <w:bCs/>
                <w:lang w:val="en-GB"/>
              </w:rPr>
              <w:t>Applied Aircraft Engineering (on-line)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Aircraft Maintenance Leadership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N/A</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programme is designed to support the development of those taking on leadership roles within the aircraft maintenance function within an airline or aircraft maintenance company</w:t>
      </w:r>
      <w:r w:rsidRPr="2030048C">
        <w:rPr>
          <w:rFonts w:ascii="Arial" w:eastAsia="Arial" w:hAnsi="Arial" w:cs="Arial"/>
          <w:i/>
          <w:iCs/>
          <w:sz w:val="24"/>
          <w:szCs w:val="24"/>
        </w:rPr>
        <w:t>.</w:t>
      </w:r>
      <w:r w:rsidRPr="2030048C">
        <w:rPr>
          <w:rFonts w:ascii="Arial" w:eastAsia="Arial" w:hAnsi="Arial" w:cs="Arial"/>
          <w:sz w:val="24"/>
          <w:szCs w:val="24"/>
        </w:rPr>
        <w:t>  The students on the course will have already undertaken the complete set of EASA B licence or equivalent modules and have thus demonstrated the requisite knowledge of aircraft systems and maintenance processes.  The focus of this programme is on developing analytical skills to undertake degree level study and management skills to take on supervisory roles.  It also gives students the opportunity to identify the range of key skills they have developed in the workplace.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is a part time distance learning programme and each of the taught modules has 35 hours of online taught time in small groups.  Individual mentoring and tutorial support is also available to support the programme.  One of the benefits of this part-time programme is that it gives access to Higher Education to those that cannot afford two years of full-time study.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assessment strategy is primarily focussed on Key Skills since most of the knowledge element has already been assessed as part of the EASA/Civil Aviation modules.  This is in keeping with the holistic approach to assessment embodied in the Kingston Academic Framework.</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xml:space="preserve">Students are supported by: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An induction period at the beginning of the programme which includes briefings on the programme; university computer-based resources and university rules, regulations and procedures.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Director and personal tutor.</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A Module Leader for each module who is responsible for managing the module and ensuring the coherence of the material and learning, and the fairness of the assessment.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A designated programme administrator.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Staff Student Consultative Committee.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b/>
          <w:bCs/>
          <w:sz w:val="24"/>
          <w:szCs w:val="24"/>
        </w:rPr>
        <w:t xml:space="preserve">Canvas </w:t>
      </w:r>
      <w:r w:rsidRPr="2030048C">
        <w:rPr>
          <w:rFonts w:ascii="Arial" w:eastAsia="Arial" w:hAnsi="Arial" w:cs="Arial"/>
          <w:sz w:val="24"/>
          <w:szCs w:val="24"/>
        </w:rPr>
        <w:t>– the university’s on-line virtual learning environment (VLE), and delivery through MS Teams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Learning Resource Centres that provide support for academic skills.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Disabled student support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The Students’ Union </w:t>
      </w:r>
    </w:p>
    <w:p w:rsidRPr="2030048C" w:rsidP="2030048C">
      <w:pPr>
        <w:rPr>
          <w:rFonts w:ascii="Arial" w:eastAsia="Arial" w:hAnsi="Arial" w:cs="Arial"/>
          <w:sz w:val="24"/>
          <w:szCs w:val="24"/>
        </w:rPr>
      </w:pPr>
      <w:r w:rsidRPr="2030048C">
        <w:rPr>
          <w:rFonts w:ascii="Arial" w:eastAsia="Arial" w:hAnsi="Arial" w:cs="Arial"/>
          <w:sz w:val="24"/>
          <w:szCs w:val="24"/>
        </w:rPr>
        <w:t>Although this programme is entirely delivered online, all students will be assigned a personal tutor that will remain with them throughout the programme.  The personal tutor will advise the students on the development of their Personal Development Portfolio and also on their taught modules.  Typically, there will be 10 hours of personal contact over the duration of the programme, either face to face or by electronic communication.</w:t>
      </w:r>
    </w:p>
    <w:p w:rsidRPr="2030048C" w:rsidP="2030048C">
      <w:pPr>
        <w:rPr>
          <w:rFonts w:ascii="Arial" w:eastAsia="Arial" w:hAnsi="Arial" w:cs="Arial"/>
          <w:sz w:val="24"/>
          <w:szCs w:val="24"/>
        </w:rPr>
      </w:pPr>
      <w:r w:rsidRPr="2030048C">
        <w:rPr>
          <w:rFonts w:ascii="Arial" w:eastAsia="Arial" w:hAnsi="Arial" w:cs="Arial"/>
          <w:sz w:val="24"/>
          <w:szCs w:val="24"/>
        </w:rPr>
        <w:t>Support with Mathematics is also available through the university Maths Aid scheme.  Arrangements have been made for students to access this remotely.</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External examiners who review work, attend assessment boards and report on their findings.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Bi-annual boards of study where the operation of the course is considered. A student representative from each intake of the programme is invited to attend.</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 annual review and development process.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Periodic reviews undertaken at subject level.</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Student feedback through end of module evaluation questionnaires and Staff Student Consultative Committee meetings. </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Moderation and feedback policies.</w:t>
      </w:r>
    </w:p>
    <w:p w:rsidR="3D0EBCB8" w:rsidRPr="2030048C" w:rsidP="2030048C">
      <w:pPr>
        <w:pStyle w:val="MsoBodyText"/>
        <w:rPr>
          <w:rFonts w:ascii="Arial" w:eastAsia="Arial" w:hAnsi="Arial" w:cs="Arial"/>
          <w:sz w:val="24"/>
          <w:szCs w:val="24"/>
        </w:rPr>
      </w:pPr>
      <w:r w:rsidRPr="2030048C">
        <w:rPr>
          <w:rFonts w:ascii="Arial" w:eastAsia="Arial" w:hAnsi="Arial" w:cs="Arial"/>
          <w:sz w:val="24"/>
          <w:szCs w:val="24"/>
        </w:rPr>
        <w:t>In addition, the programme will be submitted to the Royal Aeronautical Society as providing a route to the BSc (Hons) in Aircraft Engineering.  The BSc(Hons) is accredited by the Royal Aeronautical Society as meeting the requirements for IEng registration. To be accredited, a programme must satisfy the Engineering Council’s and the Society’s requirements. The process, carried out by a panel from the Society, involves: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 in-depth review of all programme documentation.</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review of marketing material; the student selection and admission policies and processes, and the progression and award statistics.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Visits to all delivery sites to assess the learning environment and review resources.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Meetings with staff involved in the delivery of the programme and private meetings with students on it.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Confirmation that the programme satisfies the UK Standard for Professional Engineering Competence (UK-SPEC) general and specific learning outcomes.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29"/>
        <w:gridCol w:w="929"/>
        <w:gridCol w:w="9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AE5300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AE5310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MsoBodyText">
    <w:name w:val="Mso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F348DA7-BBF1-4B14-8377-D60FD89A240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