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FdEng</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Aircraft Engineering</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01/12/2013</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24/07/2025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13</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Engineering, Computing and the Environment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Engineering</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Aerospace and Aircraft Engineering</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Exeter College</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FdEng</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Aircraft Engineering</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Aircraft Engineering (120 credits at level 4)</w:t>
            </w:r>
          </w:p>
          <w:p w:rsidR="72431AC7" w:rsidP="2030048C" w14:paraId="3E314738" w14:textId="6100E87F">
            <w:pPr>
              <w:rPr>
                <w:rFonts w:ascii="Arial" w:eastAsia="Arial" w:hAnsi="Arial" w:cs="Arial"/>
                <w:b w:val="0"/>
                <w:bCs w:val="0"/>
                <w:sz w:val="24"/>
                <w:szCs w:val="24"/>
                <w:lang w:val="en-GB"/>
              </w:rPr>
            </w:pPr>
          </w:p>
          <w:p w:rsidR="72431AC7" w:rsidP="2030048C" w14:paraId="7ABC1166" w14:textId="7E0F963D">
            <w:pPr>
              <w:rPr>
                <w:rFonts w:ascii="Arial" w:eastAsia="Arial" w:hAnsi="Arial" w:cs="Arial"/>
                <w:b w:val="0"/>
                <w:bCs w:val="0"/>
                <w:sz w:val="24"/>
                <w:szCs w:val="24"/>
                <w:lang w:val="en-GB"/>
              </w:rPr>
            </w:pP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UPAAE1AAE01</w:t>
            </w: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UOAAE1AAE70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H410</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Exeter College</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Exeter College</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 (at all delivery sites)</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8</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Pr="2030048C" w:rsidP="2030048C">
            <w:pPr>
              <w:ind w:left="570"/>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The minimum standard entry qualifications for the programme are: </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96 UCAS tariff points from three A-levels to include Mathematics and Science (General Studies and native language A-levels are not accepted) </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 96 UCAS tariff points from a BTEC Extended Diploma (180-credit award) in an engineering subject to include Further Mathematics for Engineering Technicians. (BTECs in computing or technology subjects are not accepted).  </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HE access course with 60 credits at level 3 in an engineering subject.  </w:t>
            </w:r>
          </w:p>
          <w:p w:rsidRPr="2030048C" w:rsidP="2030048C">
            <w:pPr>
              <w:ind w:left="570"/>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Plus: </w:t>
            </w:r>
          </w:p>
          <w:p w:rsidRPr="2030048C" w:rsidP="2030048C">
            <w:pPr>
              <w:numPr>
                <w:ilvl w:val="0"/>
                <w:numId w:val="13"/>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Five GCSEs grade A*to C which must include English Language, Mathematics and a science or technology subject. Native language GCSEs, Key Skills Level 2 Communication and Application of Numbers, and IGCSE English as a Second Language are not accepted. </w:t>
            </w:r>
          </w:p>
          <w:p w:rsidRPr="2030048C" w:rsidP="2030048C">
            <w:pPr>
              <w:ind w:left="570"/>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Applicants with military and/or civil aircraft maintenance engineering experience or who have completed vocational aircraft engineering courses will be considered on an individual basis.  </w:t>
            </w:r>
          </w:p>
          <w:p w:rsidRPr="2030048C" w:rsidP="2030048C">
            <w:pPr>
              <w:ind w:left="570"/>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A minimum International English Language Testing System (IELTS) score of 6.0 (min 5.5 in Speaking, Writing, Listening and Reading) or equivalent is required for those for whom English is not their first language.</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Partially by Royal Aero. Full IEng upon completion of BEng Aircraft Top up.  </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pStyle w:val="p"/>
              <w:shd w:val="clear" w:color="auto" w:fill="FFFFFE"/>
              <w:spacing w:before="120" w:beforeAutospacing="0" w:after="120" w:afterAutospacing="0" w:line="285" w:lineRule="auto"/>
              <w:ind w:left="0" w:right="0"/>
              <w:rPr>
                <w:rStyle w:val="normaltextrun"/>
                <w:rFonts w:ascii="Times New Roman" w:eastAsia="Times New Roman" w:hAnsi="Times New Roman" w:cs="Times New Roman"/>
                <w:b w:val="0"/>
                <w:bCs w:val="0"/>
                <w:color w:val="000000" w:themeColor="text1" w:themeShade="FF" w:themeTint="FF"/>
                <w:sz w:val="22"/>
                <w:szCs w:val="22"/>
              </w:rPr>
            </w:pPr>
            <w:r w:rsidRPr="158602C4">
              <w:rPr>
                <w:rStyle w:val="normaltextrun"/>
                <w:rFonts w:ascii="Calibri" w:eastAsia="Calibri" w:hAnsi="Calibri" w:cs="Calibri"/>
                <w:b w:val="0"/>
                <w:bCs w:val="0"/>
                <w:color w:val="000000" w:themeColor="text1" w:themeShade="FF" w:themeTint="FF"/>
                <w:sz w:val="22"/>
                <w:szCs w:val="22"/>
              </w:rPr>
              <w:t>None.</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p0"/>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The aims of the programme are to:</w:t>
      </w:r>
      <w:r w:rsidRPr="2030048C">
        <w:rPr>
          <w:rStyle w:val="normaltextrun"/>
          <w:rFonts w:ascii="Arial" w:hAnsi="Arial" w:cs="Arial"/>
          <w:color w:val="000000" w:themeColor="text1"/>
          <w:sz w:val="22"/>
          <w:szCs w:val="22"/>
          <w:shd w:val="clear" w:color="auto" w:fill="FFFFFF"/>
        </w:rPr>
        <w:t xml:space="preserve">       </w:t>
      </w:r>
    </w:p>
    <w:p w:rsidRPr="2030048C" w:rsidP="2030048C">
      <w:pPr>
        <w:pStyle w:val="ListParagraph"/>
        <w:numPr>
          <w:ilvl w:val="0"/>
          <w:numId w:val="14"/>
        </w:numPr>
        <w:ind w:left="555" w:right="51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Produce aircraft maintenance engineers who are equipped with the technical knowledge, understanding and skills to succeed in the industry and who also have the underpinning academic knowledge, understanding and skills needed for progression to the BSc(Hons) Aircraft Engineering Top-Up programme.</w:t>
      </w:r>
    </w:p>
    <w:p w:rsidRPr="2030048C" w:rsidP="2030048C">
      <w:pPr>
        <w:pStyle w:val="ListParagraph"/>
        <w:numPr>
          <w:ilvl w:val="0"/>
          <w:numId w:val="14"/>
        </w:numPr>
        <w:ind w:left="555" w:right="51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Provide students with the professional knowledge and skills that will enable them to manage their own personal and professional development, and encourage them to be proactive in their professional and personal development.</w:t>
      </w:r>
    </w:p>
    <w:p w:rsidRPr="2030048C" w:rsidP="2030048C">
      <w:pPr>
        <w:pStyle w:val="Default"/>
        <w:ind w:left="57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Default"/>
        <w:ind w:left="57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More specific aims of the course are:</w:t>
      </w:r>
    </w:p>
    <w:p w:rsidRPr="2030048C" w:rsidP="2030048C">
      <w:pPr>
        <w:pStyle w:val="Default"/>
        <w:ind w:left="57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15"/>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 xml:space="preserve">Produce aircraft engineering graduates who are equipped with the technical knowledge, understanding skills; and behaviours required to be competent in the job roles within the maintenance sector. </w:t>
      </w:r>
    </w:p>
    <w:p w:rsidRPr="2030048C" w:rsidP="2030048C">
      <w:pPr>
        <w:pStyle w:val="Default"/>
        <w:ind w:left="57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16"/>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To prepare graduates with an ability to solve design problems and the technical skills needed to realise these solutions in the fields of aircraft operation and maintenance.</w:t>
      </w:r>
    </w:p>
    <w:p w:rsidRPr="2030048C" w:rsidP="2030048C">
      <w:pPr>
        <w:pStyle w:val="ListParagraph"/>
        <w:ind w:left="72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Default"/>
        <w:ind w:left="57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17"/>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 xml:space="preserve">To furnish graduates with a firm grasp of sustainability, ethics, risks, legal obligations and economics.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their knowledge and understanding of essential facts, concepts, theories and principles associated with aircraft engineering and the underpinning mathematics and science.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Analyse the operation of aircraft systems and equipment to support defect diagnosis and identification, and provide evidence of their analytical and evaluative capabilities.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Work effectively and safely in an aircraft maintenance environment and demonstrate due regard for good working practices, the regulations under which they must work and fight safety.</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knowledge and understanding of the subject matter of the European Aviation Safety Agency (EASA)/Civil Aviation Authority(CAA) Part-66 module syllabuses for the Category B1.1 aircraft maintenance engineering licence.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Locate, select, interpret and evaluate data and use it effectively in communication having due regard for intellectual property rights.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Perform scheduled and unscheduled maintenance, fault diagnosis and rectification and serviceability testing on aircraft systems using the documentation, tools and equipment necessary to complete the task.</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knowledge and understanding of the responsibilities and legal obligations of licensed aircraft maintenance engineers and the effects of them exercising their engineering judgement.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Communicate clearly and succinctly orally, graphically and in writing having due regard for the receiving audience.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a range of IT resources for research and communication, to retrieve and store information and data, apply numerical ans statistical methods to analyse data for decision making and to produce documents incorporating different types of information.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Discuss the responsibilities of engineers in a broader context and explain the roles of the Engineering Council and Professional Engineering Institutes, and the process and purpose of registration.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Reflect on their learning, identify strengths and weaknesses, determine priorities, set targets and develop action plans to meet them.</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Work independently or as a member of a team to achieve set goals.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8"/>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8"/>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 Enterprise</w:t>
      </w:r>
    </w:p>
    <w:p w:rsidRPr="2030048C" w:rsidP="2030048C">
      <w:pPr>
        <w:numPr>
          <w:ilvl w:val="0"/>
          <w:numId w:val="18"/>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8"/>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8"/>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8"/>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8"/>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8"/>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rPr>
        <w:t xml:space="preserve">Each level is made up of four modules each worth 30 credit points. Typically, a student must complete 120 credits at each level. 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 xml:space="preserve">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D0D0D"/>
          <w:sz w:val="22"/>
          <w:szCs w:val="22"/>
        </w:rPr>
        <w:t xml:space="preserve">The programme is operated in accordance with the KU Undergraduate Regulations and modules are compulsory; there are no optional modules available. All students must complete 120 credits worth of modules at each level to progress to the next level. To be awarded a FD in Aircraft Engineering, students must pass all 240 credits. </w:t>
      </w:r>
    </w:p>
    <w:p w:rsidRPr="2030048C" w:rsidP="2030048C">
      <w:pPr>
        <w:ind w:left="57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Full details of each module will be provided in module descriptors and in the module canvas pages.</w:t>
      </w:r>
    </w:p>
    <w:p w:rsidRPr="2030048C" w:rsidP="2030048C">
      <w:pPr>
        <w:ind w:left="57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 xml:space="preserve">Note: As per </w:t>
      </w:r>
      <w:hyperlink r:id="rId11" w:anchor="blockid21000" w:history="1">
        <w:r w:rsidRPr="2030048C">
          <w:rPr>
            <w:rFonts w:ascii="Arial" w:eastAsia="Arial" w:hAnsi="Arial" w:cs="Arial"/>
            <w:color w:val="000000" w:themeColor="text1" w:themeShade="FF" w:themeTint="FF"/>
            <w:sz w:val="22"/>
            <w:szCs w:val="22"/>
          </w:rPr>
          <w:t>GR5</w:t>
        </w:r>
      </w:hyperlink>
      <w:r w:rsidRPr="2030048C">
        <w:rPr>
          <w:rFonts w:ascii="Arial" w:eastAsia="Arial" w:hAnsi="Arial" w:cs="Arial"/>
          <w:color w:val="000000" w:themeColor="text1" w:themeShade="FF" w:themeTint="FF"/>
          <w:sz w:val="22"/>
          <w:szCs w:val="22"/>
        </w:rPr>
        <w:t xml:space="preserve"> within the general regulations, the University aims to ensure that all option modules listed below are delivered. However, for various reasons, such as demand, the availability of option modules may vary from year to year or between teaching blocks. Students will be informed of the availability of option modules through the Online Module Selection process.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FdEng</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Aircraft Engineering</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FdEng</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Aircraft Engineering</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Aerodynamics and Aircraft Electronic and Digital Systems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AE4003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Electrical Engineering Fundamentals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AE4002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Mathematics and Physics for Practitioner Engineers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AE4001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Navigate with Aircraft Practical Skills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AE4017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Progression to Level 5 requires passes in all modules. </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This course permits progression from level 4 to level 5 with 90 credits at level 4 or above. The outstanding 30 credits from level 4 can be trailed into level 5 and must be passed before completion of the FD. </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course at this point who have successfully completed 120 credits at level 4 or above are eligible for the award of Certificate of Higher Education in Aircraft Engineering. </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FdEng</w:t>
            </w:r>
            <w:r w:rsidRPr="2030048C">
              <w:rPr>
                <w:rFonts w:ascii="Arial" w:eastAsia="Arial" w:hAnsi="Arial" w:cs="Arial"/>
                <w:b/>
                <w:bCs/>
                <w:lang w:val="en-GB"/>
              </w:rPr>
              <w:t xml:space="preserve"> </w:t>
            </w:r>
            <w:r w:rsidRPr="2030048C">
              <w:rPr>
                <w:rFonts w:ascii="Arial" w:eastAsia="Arial" w:hAnsi="Arial" w:cs="Arial"/>
                <w:b/>
                <w:bCs/>
                <w:lang w:val="en-GB"/>
              </w:rPr>
              <w:t>Aircraft Engineering</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Aircraft Materials, Hardware and Maintenance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AE5001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Aircraft Structures and Systems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AE5007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Explore with Aviation Legislation and Human Factors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AE5008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Propulsion Systems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AE5043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66934EB1" w:rsidP="2030048C" w14:paraId="268D6129"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2"/>
          <w:szCs w:val="22"/>
        </w:rPr>
        <w:t>This course uses a range of teaching and assessment methods which have been designed to support students’ learning and achievement of the learning outcomes. The course has been developed with reference to the Kingston University Academic Framework which sets out core principles relating to Course and Credit Structure (including Module delivery Structure and Pattern, and Learning Hours and Learning Formats); Curriculum Design (inclusion of Learning Design Principles and Inclusive Curriculum); and Future Skills.</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2"/>
          <w:szCs w:val="22"/>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2"/>
          <w:szCs w:val="22"/>
        </w:rPr>
        <w:t>Laboratory Sessions</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2"/>
          <w:szCs w:val="22"/>
        </w:rPr>
        <w:t>Lectures</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2"/>
          <w:szCs w:val="22"/>
        </w:rPr>
        <w:t>Seminars</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2"/>
          <w:szCs w:val="22"/>
        </w:rPr>
        <w:t>Tutorials</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2"/>
          <w:szCs w:val="22"/>
        </w:rPr>
        <w:t>Workshops</w:t>
      </w:r>
    </w:p>
    <w:p w:rsidRPr="2030048C" w:rsidP="2030048C">
      <w:pPr>
        <w:rPr>
          <w:rFonts w:ascii="Arial" w:eastAsia="Arial" w:hAnsi="Arial" w:cs="Arial"/>
          <w:sz w:val="24"/>
          <w:szCs w:val="24"/>
        </w:rPr>
      </w:pPr>
      <w:r w:rsidRPr="2030048C">
        <w:rPr>
          <w:rFonts w:ascii="Arial" w:eastAsia="Arial" w:hAnsi="Arial" w:cs="Arial"/>
          <w:sz w:val="22"/>
          <w:szCs w:val="22"/>
        </w:rPr>
        <w:t>Guidance for students on the use of independent study time is communicated through the ‘Succeed in your module’ section on the Canvas Virtual Learning Environment and/or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2"/>
          <w:szCs w:val="22"/>
        </w:rPr>
        <w:t>The workshop and hangar practice introduces and give students an opportunity to develop the practical and maintenance skills needed to be an aircraft engineer. The learning outcomes are achieved primarily through practical exercises.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The support provided to students is comprehensive but details vary between delivery sites. All students on all sites are supported</w:t>
      </w:r>
      <w:r w:rsidRPr="2030048C">
        <w:rPr>
          <w:rFonts w:ascii="Arial" w:eastAsia="Arial" w:hAnsi="Arial" w:cs="Arial"/>
          <w:sz w:val="24"/>
          <w:szCs w:val="24"/>
        </w:rPr>
        <w:t xml:space="preserve"> by:</w:t>
      </w:r>
      <w:r w:rsidRPr="2030048C">
        <w:rPr>
          <w:rFonts w:ascii="Arial" w:eastAsia="Arial" w:hAnsi="Arial" w:cs="Arial"/>
          <w:sz w:val="24"/>
          <w:szCs w:val="24"/>
        </w:rPr>
        <w:t xml:space="preserve"> </w:t>
      </w:r>
    </w:p>
    <w:p w:rsidRPr="2030048C" w:rsidP="2030048C">
      <w:pPr>
        <w:numPr>
          <w:ilvl w:val="0"/>
          <w:numId w:val="20"/>
        </w:numPr>
        <w:ind w:left="720" w:right="0" w:hanging="360"/>
        <w:jc w:val="left"/>
        <w:rPr>
          <w:rFonts w:ascii="Arial" w:eastAsia="Arial" w:hAnsi="Arial" w:cs="Arial"/>
          <w:sz w:val="24"/>
          <w:szCs w:val="24"/>
        </w:rPr>
      </w:pPr>
      <w:r w:rsidRPr="2030048C">
        <w:rPr>
          <w:rFonts w:ascii="Arial" w:eastAsia="Arial" w:hAnsi="Arial" w:cs="Arial"/>
          <w:sz w:val="24"/>
          <w:szCs w:val="24"/>
        </w:rPr>
        <w:t>An induction period at the beginning of the programme</w:t>
      </w:r>
      <w:r w:rsidRPr="2030048C">
        <w:rPr>
          <w:rFonts w:ascii="Arial" w:eastAsia="Arial" w:hAnsi="Arial" w:cs="Arial"/>
          <w:sz w:val="24"/>
          <w:szCs w:val="24"/>
        </w:rPr>
        <w:t xml:space="preserve"> which includes briefings on the </w:t>
      </w:r>
      <w:r w:rsidRPr="2030048C">
        <w:rPr>
          <w:rFonts w:ascii="Arial" w:eastAsia="Arial" w:hAnsi="Arial" w:cs="Arial"/>
          <w:sz w:val="24"/>
          <w:szCs w:val="24"/>
        </w:rPr>
        <w:t xml:space="preserve">programme; </w:t>
      </w:r>
      <w:r w:rsidRPr="2030048C">
        <w:rPr>
          <w:rFonts w:ascii="Arial" w:eastAsia="Arial" w:hAnsi="Arial" w:cs="Arial"/>
          <w:sz w:val="24"/>
          <w:szCs w:val="24"/>
        </w:rPr>
        <w:t>univ</w:t>
      </w:r>
      <w:r w:rsidRPr="2030048C">
        <w:rPr>
          <w:rFonts w:ascii="Arial" w:eastAsia="Arial" w:hAnsi="Arial" w:cs="Arial"/>
          <w:sz w:val="24"/>
          <w:szCs w:val="24"/>
        </w:rPr>
        <w:t xml:space="preserve">ersity computer-based resources and university </w:t>
      </w:r>
      <w:r w:rsidRPr="2030048C">
        <w:rPr>
          <w:rFonts w:ascii="Arial" w:eastAsia="Arial" w:hAnsi="Arial" w:cs="Arial"/>
          <w:sz w:val="24"/>
          <w:szCs w:val="24"/>
        </w:rPr>
        <w:t xml:space="preserve">and local </w:t>
      </w:r>
      <w:r w:rsidRPr="2030048C">
        <w:rPr>
          <w:rFonts w:ascii="Arial" w:eastAsia="Arial" w:hAnsi="Arial" w:cs="Arial"/>
          <w:sz w:val="24"/>
          <w:szCs w:val="24"/>
        </w:rPr>
        <w:t>rules, regulations and procedures</w:t>
      </w:r>
      <w:r w:rsidRPr="2030048C">
        <w:rPr>
          <w:rFonts w:ascii="Arial" w:eastAsia="Arial" w:hAnsi="Arial" w:cs="Arial"/>
          <w:sz w:val="24"/>
          <w:szCs w:val="24"/>
        </w:rPr>
        <w:t xml:space="preserve">. </w:t>
      </w:r>
    </w:p>
    <w:p w:rsidRPr="2030048C" w:rsidP="2030048C">
      <w:pPr>
        <w:numPr>
          <w:ilvl w:val="0"/>
          <w:numId w:val="20"/>
        </w:numPr>
        <w:ind w:left="720" w:right="0" w:hanging="360"/>
        <w:jc w:val="left"/>
        <w:rPr>
          <w:rFonts w:ascii="Arial" w:eastAsia="Arial" w:hAnsi="Arial" w:cs="Arial"/>
          <w:sz w:val="24"/>
          <w:szCs w:val="24"/>
        </w:rPr>
      </w:pPr>
      <w:r w:rsidRPr="2030048C">
        <w:rPr>
          <w:rFonts w:ascii="Arial" w:eastAsia="Arial" w:hAnsi="Arial" w:cs="Arial"/>
          <w:sz w:val="24"/>
          <w:szCs w:val="24"/>
        </w:rPr>
        <w:t xml:space="preserve">A Course </w:t>
      </w:r>
      <w:r w:rsidRPr="2030048C">
        <w:rPr>
          <w:rFonts w:ascii="Arial" w:eastAsia="Arial" w:hAnsi="Arial" w:cs="Arial"/>
          <w:sz w:val="24"/>
          <w:szCs w:val="24"/>
        </w:rPr>
        <w:t xml:space="preserve">Leader </w:t>
      </w:r>
      <w:r w:rsidRPr="2030048C">
        <w:rPr>
          <w:rFonts w:ascii="Arial" w:eastAsia="Arial" w:hAnsi="Arial" w:cs="Arial"/>
          <w:sz w:val="24"/>
          <w:szCs w:val="24"/>
        </w:rPr>
        <w:t xml:space="preserve">and KU Liaison Officer based at Kingston and a </w:t>
      </w:r>
      <w:r w:rsidRPr="2030048C">
        <w:rPr>
          <w:rFonts w:ascii="Arial" w:eastAsia="Arial" w:hAnsi="Arial" w:cs="Arial"/>
          <w:sz w:val="24"/>
          <w:szCs w:val="24"/>
        </w:rPr>
        <w:t xml:space="preserve">Partner </w:t>
      </w:r>
      <w:r w:rsidRPr="2030048C">
        <w:rPr>
          <w:rFonts w:ascii="Arial" w:eastAsia="Arial" w:hAnsi="Arial" w:cs="Arial"/>
          <w:sz w:val="24"/>
          <w:szCs w:val="24"/>
        </w:rPr>
        <w:t xml:space="preserve">Liaison Officer </w:t>
      </w:r>
      <w:r w:rsidRPr="2030048C">
        <w:rPr>
          <w:rFonts w:ascii="Arial" w:eastAsia="Arial" w:hAnsi="Arial" w:cs="Arial"/>
          <w:sz w:val="24"/>
          <w:szCs w:val="24"/>
        </w:rPr>
        <w:t xml:space="preserve">employed by the partner and </w:t>
      </w:r>
      <w:r w:rsidRPr="2030048C">
        <w:rPr>
          <w:rFonts w:ascii="Arial" w:eastAsia="Arial" w:hAnsi="Arial" w:cs="Arial"/>
          <w:sz w:val="24"/>
          <w:szCs w:val="24"/>
        </w:rPr>
        <w:t>based at the partner site.</w:t>
      </w:r>
    </w:p>
    <w:p w:rsidRPr="2030048C" w:rsidP="2030048C">
      <w:pPr>
        <w:numPr>
          <w:ilvl w:val="0"/>
          <w:numId w:val="20"/>
        </w:numPr>
        <w:ind w:left="720" w:right="0" w:hanging="360"/>
        <w:jc w:val="left"/>
        <w:rPr>
          <w:rFonts w:ascii="Arial" w:eastAsia="Arial" w:hAnsi="Arial" w:cs="Arial"/>
          <w:sz w:val="24"/>
          <w:szCs w:val="24"/>
        </w:rPr>
      </w:pPr>
      <w:r w:rsidRPr="2030048C">
        <w:rPr>
          <w:rFonts w:ascii="Arial" w:eastAsia="Arial" w:hAnsi="Arial" w:cs="Arial"/>
          <w:sz w:val="24"/>
          <w:szCs w:val="24"/>
        </w:rPr>
        <w:t xml:space="preserve">A </w:t>
      </w:r>
      <w:r w:rsidRPr="2030048C">
        <w:rPr>
          <w:rFonts w:ascii="Arial" w:eastAsia="Arial" w:hAnsi="Arial" w:cs="Arial"/>
          <w:sz w:val="24"/>
          <w:szCs w:val="24"/>
        </w:rPr>
        <w:t xml:space="preserve">local </w:t>
      </w:r>
      <w:r w:rsidRPr="2030048C">
        <w:rPr>
          <w:rFonts w:ascii="Arial" w:eastAsia="Arial" w:hAnsi="Arial" w:cs="Arial"/>
          <w:sz w:val="24"/>
          <w:szCs w:val="24"/>
        </w:rPr>
        <w:t>Module Leader for each module who is responsible for managing the module and ensuring the coherence of the material and learning, and the fairness of the assessment.</w:t>
      </w:r>
      <w:r w:rsidRPr="2030048C">
        <w:rPr>
          <w:rFonts w:ascii="Arial" w:eastAsia="Arial" w:hAnsi="Arial" w:cs="Arial"/>
          <w:sz w:val="24"/>
          <w:szCs w:val="24"/>
        </w:rPr>
        <w:t xml:space="preserve"> Local Module Leaders are supported by KU overarching Module Leaders who ensure comparability of the students learning, teaching and assessment experience </w:t>
      </w:r>
      <w:r w:rsidRPr="2030048C">
        <w:rPr>
          <w:rFonts w:ascii="Arial" w:eastAsia="Arial" w:hAnsi="Arial" w:cs="Arial"/>
          <w:sz w:val="24"/>
          <w:szCs w:val="24"/>
        </w:rPr>
        <w:t>at the module level across the consortium</w:t>
      </w:r>
      <w:r w:rsidRPr="2030048C">
        <w:rPr>
          <w:rFonts w:ascii="Arial" w:eastAsia="Arial" w:hAnsi="Arial" w:cs="Arial"/>
          <w:sz w:val="24"/>
          <w:szCs w:val="24"/>
        </w:rPr>
        <w:t xml:space="preserve">. </w:t>
      </w:r>
    </w:p>
    <w:p w:rsidRPr="2030048C" w:rsidP="2030048C">
      <w:pPr>
        <w:numPr>
          <w:ilvl w:val="0"/>
          <w:numId w:val="20"/>
        </w:numPr>
        <w:ind w:left="720" w:right="0" w:hanging="360"/>
        <w:jc w:val="left"/>
        <w:rPr>
          <w:rFonts w:ascii="Arial" w:eastAsia="Arial" w:hAnsi="Arial" w:cs="Arial"/>
          <w:sz w:val="24"/>
          <w:szCs w:val="24"/>
        </w:rPr>
      </w:pPr>
      <w:r w:rsidRPr="2030048C">
        <w:rPr>
          <w:rFonts w:ascii="Arial" w:eastAsia="Arial" w:hAnsi="Arial" w:cs="Arial"/>
          <w:sz w:val="24"/>
          <w:szCs w:val="24"/>
        </w:rPr>
        <w:t>A nominated personal tutor and the university Personal Tutor Scheme (PTS) </w:t>
      </w:r>
    </w:p>
    <w:p w:rsidRPr="2030048C" w:rsidP="2030048C">
      <w:pPr>
        <w:numPr>
          <w:ilvl w:val="0"/>
          <w:numId w:val="20"/>
        </w:numPr>
        <w:ind w:left="720" w:right="0" w:hanging="360"/>
        <w:jc w:val="left"/>
        <w:rPr>
          <w:rFonts w:ascii="Arial" w:eastAsia="Arial" w:hAnsi="Arial" w:cs="Arial"/>
          <w:sz w:val="24"/>
          <w:szCs w:val="24"/>
        </w:rPr>
      </w:pPr>
      <w:r w:rsidRPr="2030048C">
        <w:rPr>
          <w:rFonts w:ascii="Arial" w:eastAsia="Arial" w:hAnsi="Arial" w:cs="Arial"/>
          <w:sz w:val="24"/>
          <w:szCs w:val="24"/>
        </w:rPr>
        <w:t xml:space="preserve">Bi-annual Student Voice Committee(SVC) meetings held at the partner organisations. </w:t>
      </w:r>
    </w:p>
    <w:p w:rsidRPr="2030048C" w:rsidP="2030048C">
      <w:pPr>
        <w:numPr>
          <w:ilvl w:val="0"/>
          <w:numId w:val="20"/>
        </w:numPr>
        <w:ind w:left="720" w:right="0" w:hanging="360"/>
        <w:jc w:val="left"/>
        <w:rPr>
          <w:rFonts w:ascii="Arial" w:eastAsia="Arial" w:hAnsi="Arial" w:cs="Arial"/>
          <w:sz w:val="24"/>
          <w:szCs w:val="24"/>
        </w:rPr>
      </w:pPr>
      <w:r w:rsidRPr="2030048C">
        <w:rPr>
          <w:rFonts w:ascii="Arial" w:eastAsia="Arial" w:hAnsi="Arial" w:cs="Arial"/>
          <w:sz w:val="24"/>
          <w:szCs w:val="24"/>
        </w:rPr>
        <w:t>Canvas</w:t>
      </w:r>
      <w:r w:rsidRPr="2030048C">
        <w:rPr>
          <w:rFonts w:ascii="Arial" w:eastAsia="Arial" w:hAnsi="Arial" w:cs="Arial"/>
          <w:sz w:val="24"/>
          <w:szCs w:val="24"/>
        </w:rPr>
        <w:t xml:space="preserve"> – the university’s on-line virtual learning environment or an equivalent  VLE .</w:t>
      </w:r>
    </w:p>
    <w:p w:rsidRPr="2030048C" w:rsidP="2030048C">
      <w:pPr>
        <w:numPr>
          <w:ilvl w:val="0"/>
          <w:numId w:val="20"/>
        </w:numPr>
        <w:ind w:left="720" w:right="0" w:hanging="360"/>
        <w:jc w:val="left"/>
        <w:rPr>
          <w:rFonts w:ascii="Arial" w:eastAsia="Arial" w:hAnsi="Arial" w:cs="Arial"/>
          <w:sz w:val="24"/>
          <w:szCs w:val="24"/>
        </w:rPr>
      </w:pPr>
      <w:r w:rsidRPr="2030048C">
        <w:rPr>
          <w:rFonts w:ascii="Arial" w:eastAsia="Arial" w:hAnsi="Arial" w:cs="Arial"/>
          <w:sz w:val="24"/>
          <w:szCs w:val="24"/>
        </w:rPr>
        <w:t xml:space="preserve">Access to e-resources from the KU Learning Resource Centres. </w:t>
      </w:r>
    </w:p>
    <w:p w:rsidRPr="2030048C" w:rsidP="2030048C">
      <w:pPr>
        <w:numPr>
          <w:ilvl w:val="0"/>
          <w:numId w:val="20"/>
        </w:numPr>
        <w:ind w:left="720" w:right="0" w:hanging="360"/>
        <w:jc w:val="left"/>
        <w:rPr>
          <w:rFonts w:ascii="Arial" w:eastAsia="Arial" w:hAnsi="Arial" w:cs="Arial"/>
          <w:sz w:val="24"/>
          <w:szCs w:val="24"/>
        </w:rPr>
      </w:pPr>
      <w:r w:rsidRPr="2030048C">
        <w:rPr>
          <w:rFonts w:ascii="Arial" w:eastAsia="Arial" w:hAnsi="Arial" w:cs="Arial"/>
          <w:sz w:val="24"/>
          <w:szCs w:val="24"/>
        </w:rPr>
        <w:t>A local programme administrator(Partner Liaison Officer) and a dedicated KU programme administrator.</w:t>
      </w:r>
    </w:p>
    <w:p w:rsidRPr="2030048C" w:rsidP="2030048C">
      <w:pPr>
        <w:numPr>
          <w:ilvl w:val="0"/>
          <w:numId w:val="20"/>
        </w:numPr>
        <w:ind w:left="720" w:right="0" w:hanging="360"/>
        <w:jc w:val="left"/>
        <w:rPr>
          <w:rFonts w:ascii="Arial" w:eastAsia="Arial" w:hAnsi="Arial" w:cs="Arial"/>
          <w:sz w:val="24"/>
          <w:szCs w:val="24"/>
        </w:rPr>
      </w:pPr>
      <w:r w:rsidRPr="2030048C">
        <w:rPr>
          <w:rFonts w:ascii="Arial" w:eastAsia="Arial" w:hAnsi="Arial" w:cs="Arial"/>
          <w:sz w:val="24"/>
          <w:szCs w:val="24"/>
        </w:rPr>
        <w:t xml:space="preserve">Student support departments that provide advice on issues such as finance, regulations, legal matters, accommodation, international student support etc. </w:t>
      </w:r>
    </w:p>
    <w:p w:rsidRPr="2030048C" w:rsidP="2030048C">
      <w:pPr>
        <w:numPr>
          <w:ilvl w:val="0"/>
          <w:numId w:val="20"/>
        </w:numPr>
        <w:ind w:left="720" w:right="0" w:hanging="360"/>
        <w:jc w:val="left"/>
        <w:rPr>
          <w:rFonts w:ascii="Arial" w:eastAsia="Arial" w:hAnsi="Arial" w:cs="Arial"/>
          <w:sz w:val="24"/>
          <w:szCs w:val="24"/>
        </w:rPr>
      </w:pPr>
      <w:r w:rsidRPr="2030048C">
        <w:rPr>
          <w:rFonts w:ascii="Arial" w:eastAsia="Arial" w:hAnsi="Arial" w:cs="Arial"/>
          <w:sz w:val="24"/>
          <w:szCs w:val="24"/>
        </w:rPr>
        <w:t>Access to t</w:t>
      </w:r>
      <w:r w:rsidRPr="2030048C">
        <w:rPr>
          <w:rFonts w:ascii="Arial" w:eastAsia="Arial" w:hAnsi="Arial" w:cs="Arial"/>
          <w:sz w:val="24"/>
          <w:szCs w:val="24"/>
        </w:rPr>
        <w:t xml:space="preserve">echnical support to provide students with advice on IT and the use of software. </w:t>
      </w:r>
    </w:p>
    <w:p w:rsidRPr="2030048C" w:rsidP="2030048C">
      <w:pPr>
        <w:numPr>
          <w:ilvl w:val="0"/>
          <w:numId w:val="20"/>
        </w:numPr>
        <w:ind w:left="720" w:right="0" w:hanging="360"/>
        <w:jc w:val="left"/>
        <w:rPr>
          <w:rFonts w:ascii="Arial" w:eastAsia="Arial" w:hAnsi="Arial" w:cs="Arial"/>
          <w:sz w:val="24"/>
          <w:szCs w:val="24"/>
        </w:rPr>
      </w:pPr>
      <w:r w:rsidRPr="2030048C">
        <w:rPr>
          <w:rFonts w:ascii="Arial" w:eastAsia="Arial" w:hAnsi="Arial" w:cs="Arial"/>
          <w:sz w:val="24"/>
          <w:szCs w:val="24"/>
        </w:rPr>
        <w:t>Disabled student support</w:t>
      </w:r>
      <w:r w:rsidRPr="2030048C">
        <w:rPr>
          <w:rFonts w:ascii="Arial" w:eastAsia="Arial" w:hAnsi="Arial" w:cs="Arial"/>
          <w:sz w:val="24"/>
          <w:szCs w:val="24"/>
        </w:rPr>
        <w:t>.</w:t>
      </w:r>
      <w:r w:rsidRPr="2030048C">
        <w:rPr>
          <w:rFonts w:ascii="Arial" w:eastAsia="Arial" w:hAnsi="Arial" w:cs="Arial"/>
          <w:sz w:val="24"/>
          <w:szCs w:val="24"/>
        </w:rPr>
        <w:t xml:space="preserve"> </w:t>
      </w:r>
    </w:p>
    <w:p w:rsidRPr="2030048C" w:rsidP="2030048C">
      <w:pPr>
        <w:numPr>
          <w:ilvl w:val="0"/>
          <w:numId w:val="20"/>
        </w:numPr>
        <w:ind w:left="720" w:right="0" w:hanging="360"/>
        <w:jc w:val="left"/>
        <w:rPr>
          <w:rFonts w:ascii="Arial" w:eastAsia="Arial" w:hAnsi="Arial" w:cs="Arial"/>
          <w:sz w:val="24"/>
          <w:szCs w:val="24"/>
        </w:rPr>
      </w:pPr>
      <w:r w:rsidRPr="2030048C">
        <w:rPr>
          <w:rFonts w:ascii="Arial" w:eastAsia="Arial" w:hAnsi="Arial" w:cs="Arial"/>
          <w:sz w:val="24"/>
          <w:szCs w:val="24"/>
        </w:rPr>
        <w:t>Careers and Employability Service</w:t>
      </w:r>
      <w:r w:rsidRPr="2030048C">
        <w:rPr>
          <w:rFonts w:ascii="Arial" w:eastAsia="Arial" w:hAnsi="Arial" w:cs="Arial"/>
          <w:sz w:val="24"/>
          <w:szCs w:val="24"/>
        </w:rPr>
        <w:t>.</w:t>
      </w:r>
      <w:r w:rsidRPr="2030048C">
        <w:rPr>
          <w:rFonts w:ascii="Arial" w:eastAsia="Arial" w:hAnsi="Arial" w:cs="Arial"/>
          <w:sz w:val="24"/>
          <w:szCs w:val="24"/>
        </w:rPr>
        <w:t xml:space="preserve"> </w:t>
      </w:r>
      <w:r w:rsidRPr="2030048C">
        <w:rPr>
          <w:rFonts w:ascii="Arial" w:eastAsia="Arial" w:hAnsi="Arial" w:cs="Arial"/>
          <w:sz w:val="24"/>
          <w:szCs w:val="24"/>
        </w:rPr>
        <w:t>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2"/>
          <w:szCs w:val="22"/>
        </w:rPr>
        <w:t>The University has policies and procedures for evaluating and improving the quality and standards of its provision.</w:t>
      </w:r>
    </w:p>
    <w:p w:rsidR="3D0EBCB8" w:rsidRPr="2030048C" w:rsidP="2030048C">
      <w:pPr>
        <w:rPr>
          <w:rFonts w:ascii="Arial" w:eastAsia="Arial" w:hAnsi="Arial" w:cs="Arial"/>
          <w:sz w:val="24"/>
          <w:szCs w:val="24"/>
        </w:rPr>
      </w:pPr>
      <w:r w:rsidRPr="2030048C">
        <w:rPr>
          <w:rFonts w:ascii="Arial" w:eastAsia="Arial" w:hAnsi="Arial" w:cs="Arial"/>
          <w:sz w:val="22"/>
          <w:szCs w:val="22"/>
        </w:rPr>
        <w:t>These include:</w:t>
      </w:r>
    </w:p>
    <w:p w:rsidR="3D0EBCB8"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2"/>
          <w:szCs w:val="22"/>
        </w:rPr>
        <w:t>Continuous Monitoring of courses through the Kingston Course Enhancement Programme (KCEP)</w:t>
      </w:r>
    </w:p>
    <w:p w:rsidR="3D0EBCB8"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2"/>
          <w:szCs w:val="22"/>
        </w:rPr>
        <w:t>Student evaluation including Module Evaluation Questionnaires (MEQs), the National Student Survey (NSS)</w:t>
      </w:r>
    </w:p>
    <w:p w:rsidR="3D0EBCB8"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2"/>
          <w:szCs w:val="22"/>
        </w:rPr>
        <w:t>Internal and external moderation of graded assignments</w:t>
      </w:r>
    </w:p>
    <w:p w:rsidR="3D0EBCB8"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2"/>
          <w:szCs w:val="22"/>
        </w:rPr>
        <w:t>External examiners</w:t>
      </w:r>
    </w:p>
    <w:p w:rsidR="3D0EBCB8"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2"/>
          <w:szCs w:val="22"/>
        </w:rPr>
        <w:t>Boards of study with student representation</w:t>
      </w:r>
    </w:p>
    <w:p w:rsidR="3D0EBCB8"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2"/>
          <w:szCs w:val="22"/>
        </w:rPr>
        <w:t>Annual review and development</w:t>
      </w:r>
    </w:p>
    <w:p w:rsidR="3D0EBCB8"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2"/>
          <w:szCs w:val="22"/>
        </w:rPr>
        <w:t>Periodic review undertaken at the subject level</w:t>
      </w:r>
    </w:p>
    <w:p w:rsidR="3D0EBCB8"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2"/>
          <w:szCs w:val="22"/>
        </w:rPr>
        <w:t>Student evaluation</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numPr>
          <w:ilvl w:val="0"/>
          <w:numId w:val="23"/>
        </w:numPr>
        <w:ind w:left="720" w:hanging="360"/>
        <w:jc w:val="left"/>
        <w:rPr>
          <w:rFonts w:ascii="Arial" w:eastAsia="Arial" w:hAnsi="Arial" w:cs="Arial"/>
          <w:sz w:val="24"/>
          <w:szCs w:val="24"/>
        </w:rPr>
      </w:pPr>
      <w:r w:rsidRPr="2030048C">
        <w:rPr>
          <w:rFonts w:ascii="Arial" w:eastAsia="Arial" w:hAnsi="Arial" w:cs="Arial"/>
          <w:color w:val="000000"/>
          <w:sz w:val="22"/>
          <w:szCs w:val="22"/>
        </w:rPr>
        <w:t>PSRB standards</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color w:val="000000"/>
          <w:sz w:val="22"/>
          <w:szCs w:val="22"/>
        </w:rPr>
        <w:t>QAA Subject benchmarks</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color w:val="000000"/>
          <w:sz w:val="22"/>
          <w:szCs w:val="22"/>
        </w:rPr>
        <w:t>RAeS accreditation</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656"/>
        <w:gridCol w:w="347"/>
        <w:gridCol w:w="876"/>
        <w:gridCol w:w="876"/>
        <w:gridCol w:w="876"/>
        <w:gridCol w:w="875"/>
        <w:gridCol w:w="1"/>
        <w:gridCol w:w="876"/>
        <w:gridCol w:w="876"/>
        <w:gridCol w:w="876"/>
        <w:gridCol w:w="875"/>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AE4001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AE4003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AE4017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AE4002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AE5008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AE5007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AE5043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AE5001</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multilevel"/>
    <w:tmpl w:val="74989B0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74989B0F"/>
    <w:multiLevelType w:val="hybridMultilevel"/>
    <w:tmpl w:val="74989B0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
    <w:nsid w:val="74989B10"/>
    <w:multiLevelType w:val="hybridMultilevel"/>
    <w:tmpl w:val="74989B1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2">
    <w:nsid w:val="74989B11"/>
    <w:multiLevelType w:val="hybridMultilevel"/>
    <w:tmpl w:val="74989B1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 w:type="paragraph" w:customStyle="1" w:styleId="p0">
    <w:name w:val="p0"/>
    <w:basedOn w:val="ListParagraph"/>
  </w:style>
  <w:style w:type="paragraph" w:customStyle="1" w:styleId="Default">
    <w:name w:val="Default"/>
    <w:basedOn w:val="ListParagraph"/>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numbering" Target="numbering.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www.kingston.ac.uk/aboutkingstonuniversity/howtheuniversityworks/policiesandregulations/" TargetMode="External"/><Relationship Id="rId6" Type="http://schemas.openxmlformats.org/officeDocument/2006/relationships/customXml" Target="../customXml/item3.xml"/><Relationship Id="rId10" Type="http://schemas.openxmlformats.org/officeDocument/2006/relationships/footer" Target="footer1.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463A9EA7-B047-4D80-9AB0-920051ECD766}"/>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