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Computing 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Sri Lanka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Computing 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Sri Lanka</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in Colombo, Kandy and Kurunegala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O Levels:         Grade B/6 in GCE Mathematics</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32 points or equivalent from two A2 subjects, with exception of General Studies.</w:t>
                  </w:r>
                </w:p>
                <w:p w:rsidRPr="2030048C" w:rsidP="2030048C">
                  <w:pPr>
                    <w:ind w:left="210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Grades MM or equivalent- any subjects                                  </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Extended Diploma:  Grades MPP or equivalent- any subjects</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Plus:                           </w:t>
                  </w:r>
                  <w:r w:rsidRPr="2030048C">
                    <w:rPr>
                      <w:rStyle w:val="normaltextrun"/>
                      <w:rFonts w:ascii="Arial" w:eastAsia="Arial" w:hAnsi="Arial" w:cs="Arial"/>
                      <w:b w:val="0"/>
                      <w:bCs w:val="0"/>
                      <w:color w:val="000000"/>
                      <w:sz w:val="24"/>
                      <w:szCs w:val="24"/>
                      <w:shd w:val="clear" w:color="auto" w:fill="FFFFFF"/>
                    </w:rPr>
                    <w:t xml:space="preserve">Candidates are also required to hold a GCSE Mathematics at grade C/4 or above or recognised equivalent.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English Language Requirements: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IETLS of 6.0 with no element below 5.5.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are considered, as equivalent alternatives to IELTS requirements for entry into Kingston University foundation year programmes at ESOFT in Sri Lanka,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GCE O Level English language</w:t>
                  </w:r>
                  <w:r w:rsidRPr="2030048C">
                    <w:rPr>
                      <w:rStyle w:val="normaltextrun"/>
                      <w:rFonts w:ascii="Arial" w:eastAsia="Arial" w:hAnsi="Arial" w:cs="Arial"/>
                      <w:b w:val="0"/>
                      <w:bCs w:val="0"/>
                      <w:color w:val="000000"/>
                      <w:sz w:val="22"/>
                      <w:szCs w:val="22"/>
                      <w:shd w:val="clear" w:color="auto" w:fill="FFFFFF"/>
                    </w:rPr>
                    <w:t xml:space="preserve">: Credit, Distinction or Very good pass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 English for Academic Purposes modules in reading, writing, listening and speaking</w:t>
                  </w:r>
                  <w:r w:rsidRPr="2030048C">
                    <w:rPr>
                      <w:rStyle w:val="normaltextrun"/>
                      <w:rFonts w:ascii="Arial" w:eastAsia="Arial" w:hAnsi="Arial" w:cs="Arial"/>
                      <w:b w:val="0"/>
                      <w:bCs w:val="0"/>
                      <w:color w:val="000000"/>
                      <w:sz w:val="22"/>
                      <w:szCs w:val="22"/>
                      <w:shd w:val="clear" w:color="auto" w:fill="FFFFFF"/>
                    </w:rPr>
                    <w:t xml:space="preserve">: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586"/>
                    <w:gridCol w:w="697"/>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Mature applicants with vocational experience may be considered but offers will be subject to interview</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in Computing is ideal for those who would like to join one of the Kingston University’s honours degrees but require a preparatory period of study. It provides an alternative entry route to undergraduate computing degree programme for those who do not meet the standard entry requirements but demonstrate the potential to succeed at degree-level study within the Faculty of Engineering, Computing, and the Environment at Kingston University.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is carefully designed to align with the subsequent levels of the degree study, enabling a smooth progression and continued subject development. It shares the same dynamic, forward-thinking approach as the later stages, emphasizing active teaching and learning methods and real-world scenarios.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benefit from the additional Foundation year, as part of their degrees typically fall into three major categories, namely:-</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Mature students returning to full-time education, often with a mix of vocational experience and qualifications.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wish to change direction in their studies / career and who do not have A-levels or equivalent qualifications in subjects required for entry at level 4</w:t>
      </w:r>
      <w:r w:rsidRPr="2030048C">
        <w:rPr>
          <w:rStyle w:val="normaltextrun"/>
          <w:rFonts w:ascii="Arial" w:hAnsi="Arial" w:cs="Arial"/>
          <w:color w:val="000000" w:themeColor="text1"/>
          <w:sz w:val="24"/>
          <w:szCs w:val="24"/>
          <w:shd w:val="clear" w:color="auto" w:fill="FFFFFF"/>
        </w:rPr>
        <w:t>.  This will include students who are looking for an alternative to A-levels.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Students who have undertaken relevant subject A-levels but have grades lower than required for entry at level 4 and who would benefit from an additional year of study to realise their potential. </w:t>
      </w:r>
    </w:p>
    <w:p w:rsidRPr="2030048C" w:rsidP="2030048C">
      <w:pPr>
        <w:pStyle w:val="MsoPlainText"/>
        <w:ind w:left="70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is taught at ESOFT Metro Campus in Colombo, Kandy, and Kurunegala, where students have access to all necessary facilities and resources, ensuring they are fully integrated into the higher education and course communities from the start. The teaching staff includes a blend of professionals: those with pedagogic expertise in Level 3 education within the higher education context, staff who also teach at subsequent degree levels—many of whom are research-active—and industry professionals who bring real-world experience and expertise to their teaching. This combination of staff ensures the subject material is current, and the delivery methods are relevant, preparing students for further study at Kingston University in the UK as international students while fostering a strong degree course identity from the outset.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curriculum is designed to promote active learning and student engagement. Students take a central subject-specific module aligned with their degree interest, focusing on building subject knowledge and understanding. These modules emphasize the development of practical skills, enabling students to apply their knowledge and easing their transition into degree-level study.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the subject-specific modules, students complete two further modules. One focuses on academic study skills, basic business and project management, and early career awareness within their discipline, helping them develop key employability skills. The other module adopts a project-based approach, where students work in groups to solve subject-related problems or create real-world artefacts. This module is designed to enhance problem-solving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teaching and learning approach throughout the Foundation Year is designed to accommodate the diverse backgrounds of students. A variety of teaching methods are used, and students are encouraged to actively contribute to discussions, sharing their experiences and perspectives. The assessment approach is equally inclusive, offering a range of assessment methods. Formative assessments and feedforward sessions help prepare students for summative assessments, ensuring they are well-equipped for further study.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One key advantage of the Foundation Year, as part of the extended degree programme and progression pathway to undergraduate study at Kingston University, is its shared module structure with many degree routes. This common structure allows students the flexibility to re-evaluate their initial degree choice and, provided they have taken the appropriate modules, switch to a different degree path if desired.</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key measure of the Foundation Year's success within the extended degree programs is student achievement at the degree level. A large percentage of students go on to earn good degrees, and many secure graduate employment, with some even becoming university lecturers or taking on key roles in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primary aims of the programme are:-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accessible pathway for students from diverse educational backgrounds who lack traditional qualifications, enabling their progression to Level 4 of a computing-related degree upon successful completion of the Foundation Year.</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essential computing knowledge, including foundational theoretical and practical skills, while fostering confidence, independence, and resilience as learners within the computing discipline.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self-awareness and reflective practice, enabling students to critically assess their learning and development in computing and technology-related fields.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into effective communicators, with a focus on technical writing, presentations, and collaborative discussions specific to the computing industry.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students can work effectively both independently and as part of a team in computing projects, demonstrating collaborative problem-solving and project management skills.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students' ability to apply the knowledge, skills, and understanding gained from the Foundation Year to solve basic computing problems, including coding, systems design, and digital troubleshooting.</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raise awareness of future skills required in the computing industry, such as adaptability, innovation, and ethical responsibility, with a focus on sustainability and the social impact of technology on global citizens through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in the core areas of the chosen subject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theoretical principles of the subject disciplines to tackle simulated projects and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instrumentation applicable to the subject of study and exhibit competence in their use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investigational techniques used within the subject disciplines and understand the basis for their use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number of given maths-related problems contextualised to the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subject-specific practical work in accordance to defined protocols and appropriate Health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Health and Safety regulations relevant to the subject discipline and the need for compliance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a variety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evaluate, interpret and present data generated through investigational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basic principles of Business as relevant to either, Engineering, or Computing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by application of study skills, the ability to be an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effectively both independently and as part of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career opportunities within the chosen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Computing 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Sri Lanka</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Computing 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Sri Lanka</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Computing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Project-Based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table" w:customStyle="1" w:styleId="MsoTableGrid">
    <w:name w:val="MsoTableGrid"/>
    <w:basedOn w:val="TableNormal"/>
    <w:tblPr/>
  </w:style>
  <w:style w:type="paragraph" w:customStyle="1" w:styleId="MsoPlainText">
    <w:name w:val="Mso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B0EF4BF-7E46-4DFD-BBF4-6A039379C78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