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Quantity Surveying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01/12/2023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05/11/2025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Built Environment and Geography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Civil Engineering, Surveying and Construction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Quantity Surveying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Quantity Surveying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Quantity Surveying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Quantity Surveying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UFQSV1QSV20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K281(3 Years Full-time) K240 (4 Years Sandwich)Apply direct to the University (5 Years Part-time)</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Quantity Surveying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Quantity Surveying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Quantity Surveying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Quantity Surveying with Foundation Year</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UFQSV1QSV55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Quantity Surveying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Quantity Surveying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Quantity Surveying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Quantity Surveying with Professional Placement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USQSV1QSV45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Quantity Surveying with Foundation Year and Professional Placement</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Quantity Surveying with Foundation Year and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Quantity Surveying with Foundation Year and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Quantity Surveying with Foundation Year and Professional Placement</w:t>
            </w: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USQSV1QSV56</w:t>
            </w: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Campus, Kingston</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&lt;p&gt;The University and its courses are regulated by the Office for Students&lt;/p&gt;</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Chartered Institute of Building (CIOB)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Royal Institute of Chartered Surveyor (RICS)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360" w:right="0"/>
              <w:jc w:val="both"/>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general aim of the course is: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equip graduates with the necessary skills and knowledge needed to be able to manage a construction project from inception and design through occupation, working towards cost-efficient, safely and on time whilst gaining the necessary employability skills such as problem-solving, digital competence and adaptability enabling graduates to follow careers in related professional disciplines.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More specific aims of the course are: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produce graduates with a breadth and depth of knowledge and a thorough comprehension of the key aspects of the construction industry within a business perspective.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understand and advise on the procurement process and be able to play a key advisory role within the decision-making team.</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develop a critical knowledge of the theory and practice of estimating, cost planning and pricing taking due account of risks and life cycle costs.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furnish students with a sound working knowledge of existing and emerging measurement techniques including the ability to measure complex structures, and the role of IT within measurement.</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allow students to develop analytical skills and an ability to evaluate evidence and assumptions to reach sound judgements and communicate these effectively.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provide quantity surveying graduates to the construction industry who have a creative approach to the solution of problems and the requisite technical skills to realise these solutions.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furnish graduates with a firm grasp of Sustainability and Health and Safety within the context of their discipline.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provide graduates with reflective skills to recognise the need to continually develop themselves in order to exercise their professional judgement.</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develop the understanding, knowledge, and skills to become, after appropriate further practical experience, competent practitioners of quantity surveying.</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equip students with the research skills required for postgraduate study and the employability skills required for work in the construction and related industries.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Relate all their studies to a knowledge and holistic understanding of sustainability including social, economic and environmental aspects within the context of the built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positive attitude to learning that encourages continuing professional development throughout their careers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Prepare construction documentation including producing estimates, cost planning and compiling pricing and tender documents.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the theory and practice of cost planning, risk, life-cycle and sustainability initiatives to support application of key theories and principles used in the management of construction and the other disciplines of the built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Manage projects, people, resources and time taking account of sustainability, legal and statutory requirements, risk, safety, quality and reliability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digital technologies to support interdisciplinary collaborative working in the construction management process.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appreciation of principles and processes that deliver an inclusive environment recognising the diversity of user needs including communities and the stakeholders, and the importance of professional ethics.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the information and knowledge base within which they are working and be able to challenge ideas rationally and constructively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Utilise management techniques to control design and construction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in-depth understanding of the various professional roles and parties involved in all stages of the project life cycle and the law and its regulatory context relating to land, contracts, tortious liability, conflict avoidance and dispute resolution, matters pertaining to professional practice and ethics and to have developed a critical appreciation of legal matters relating to contract administration;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practice related problems and prepare logically sound and evidence-based plans for their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standard industry software packages for estimating measurement and project management.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sound understanding of professional issues affecting the construction technology and use of resources in residential/commercial structures and infrastructure projects, procurement, cost estimating/control and the construction management process;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Manage projects, people, resources and time taking account of sustainability, legal and statutory requirements, risk, safety, quality and reliability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Prepare project appraisals, measure and quantify construction works, produce estimates, cost plans, cost reports to support the design development process and production of project information used in the commercial management of projects.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the management of construction identifying the key concepts and principles used in construction management including business, legal, cultural and ethical and recognising the regulatory systems including building and planning regulations.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 importance of professional bodies and the professional conduct expected of Construction Managers and Professional Engineers.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procedures relevant to standard contracts and statutory controls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pStyle w:val="p"/>
        <w:spacing w:before="0" w:after="0"/>
        <w:ind w:left="0" w:right="0"/>
        <w:jc w:val="both"/>
        <w:rPr>
          <w:rFonts w:ascii="Arial" w:eastAsia="Arial" w:hAnsi="Arial" w:cs="Arial"/>
          <w:color w:val="000000" w:themeColor="text1" w:themeShade="FF" w:themeTint="FF"/>
          <w:sz w:val="10"/>
          <w:szCs w:val="10"/>
        </w:rPr>
      </w:pPr>
    </w:p>
    <w:p w:rsidRPr="2030048C" w:rsidP="2030048C">
      <w:pPr>
        <w:pStyle w:val="p"/>
        <w:spacing w:before="0" w:after="0"/>
        <w:ind w:left="0" w:right="0"/>
        <w:jc w:val="both"/>
        <w:rPr>
          <w:rFonts w:ascii="Times New Roman" w:eastAsia="Times New Roman" w:hAnsi="Times New Roman" w:cs="Times New Roman"/>
          <w:color w:val="000000" w:themeColor="text1" w:themeShade="FF" w:themeTint="FF"/>
          <w:sz w:val="22"/>
          <w:szCs w:val="22"/>
        </w:rPr>
      </w:pPr>
      <w:r w:rsidRPr="2030048C">
        <w:rPr>
          <w:rFonts w:ascii="Arial" w:eastAsia="Arial" w:hAnsi="Arial" w:cs="Arial"/>
          <w:color w:val="000000" w:themeColor="text1" w:themeShade="FF" w:themeTint="FF"/>
          <w:sz w:val="22"/>
          <w:szCs w:val="22"/>
        </w:rPr>
        <w:t>This programme is offered in full-time/sandwich and part-time modes, and leads to the award of BSc (Hons) Quantity Surveying</w:t>
      </w:r>
      <w:r w:rsidRPr="2030048C">
        <w:rPr>
          <w:rFonts w:ascii="Arial" w:eastAsia="Arial" w:hAnsi="Arial" w:cs="Arial"/>
          <w:color w:val="000000" w:themeColor="text1" w:themeShade="FF" w:themeTint="FF"/>
          <w:sz w:val="22"/>
          <w:szCs w:val="22"/>
        </w:rPr>
        <w:t xml:space="preserve"> Consultancy</w:t>
      </w:r>
      <w:r w:rsidRPr="2030048C">
        <w:rPr>
          <w:rFonts w:ascii="Arial" w:eastAsia="Arial" w:hAnsi="Arial" w:cs="Arial"/>
          <w:color w:val="000000" w:themeColor="text1" w:themeShade="FF" w:themeTint="FF"/>
          <w:sz w:val="22"/>
          <w:szCs w:val="22"/>
        </w:rPr>
        <w:t>.</w:t>
      </w:r>
      <w:r w:rsidRPr="2030048C">
        <w:rPr>
          <w:rFonts w:ascii="Arial" w:eastAsia="Arial" w:hAnsi="Arial" w:cs="Arial"/>
          <w:color w:val="000000" w:themeColor="text1" w:themeShade="FF" w:themeTint="FF"/>
          <w:sz w:val="22"/>
          <w:szCs w:val="22"/>
        </w:rPr>
        <w:t xml:space="preserve">  </w:t>
      </w:r>
      <w:r w:rsidRPr="2030048C">
        <w:rPr>
          <w:rFonts w:ascii="Arial" w:eastAsia="Arial" w:hAnsi="Arial" w:cs="Arial"/>
          <w:color w:val="000000" w:themeColor="text1" w:themeShade="FF" w:themeTint="FF"/>
          <w:sz w:val="22"/>
          <w:szCs w:val="22"/>
        </w:rPr>
        <w:t>Entry is normally at level 4 with A-level or equivalent qualifications (See section D).</w:t>
      </w:r>
      <w:r w:rsidRPr="2030048C">
        <w:rPr>
          <w:rFonts w:ascii="Arial" w:eastAsia="Arial" w:hAnsi="Arial" w:cs="Arial"/>
          <w:color w:val="000000" w:themeColor="text1" w:themeShade="FF" w:themeTint="FF"/>
          <w:sz w:val="22"/>
          <w:szCs w:val="22"/>
        </w:rPr>
        <w:t xml:space="preserve">  </w:t>
      </w:r>
      <w:r w:rsidRPr="2030048C">
        <w:rPr>
          <w:rFonts w:ascii="Arial" w:eastAsia="Arial" w:hAnsi="Arial" w:cs="Arial"/>
          <w:color w:val="000000" w:themeColor="text1" w:themeShade="FF" w:themeTint="FF"/>
          <w:sz w:val="22"/>
          <w:szCs w:val="22"/>
        </w:rPr>
        <w:t>Transfer from a similar programme is possible at level 5 with passes in comparable level 4 modules – but is at the discretion of the course team.</w:t>
      </w:r>
      <w:r w:rsidRPr="2030048C">
        <w:rPr>
          <w:rFonts w:ascii="Arial" w:eastAsia="Arial" w:hAnsi="Arial" w:cs="Arial"/>
          <w:color w:val="000000" w:themeColor="text1" w:themeShade="FF" w:themeTint="FF"/>
          <w:sz w:val="22"/>
          <w:szCs w:val="22"/>
        </w:rPr>
        <w:t xml:space="preserve">  </w:t>
      </w:r>
      <w:r w:rsidRPr="2030048C">
        <w:rPr>
          <w:rFonts w:ascii="Arial" w:eastAsia="Arial" w:hAnsi="Arial" w:cs="Arial"/>
          <w:color w:val="000000" w:themeColor="text1" w:themeShade="FF" w:themeTint="FF"/>
          <w:sz w:val="22"/>
          <w:szCs w:val="22"/>
        </w:rPr>
        <w:t xml:space="preserve">Intake is normally in September. Entry is not allowed directly into Level 6. </w:t>
      </w:r>
    </w:p>
    <w:p w:rsidRPr="2030048C" w:rsidP="2030048C">
      <w:pPr>
        <w:pStyle w:val="p"/>
        <w:spacing w:before="0" w:after="0"/>
        <w:ind w:left="0" w:right="0"/>
        <w:jc w:val="both"/>
        <w:rPr>
          <w:rFonts w:ascii="Arial" w:eastAsia="Arial" w:hAnsi="Arial" w:cs="Arial"/>
          <w:color w:val="000000" w:themeColor="text1" w:themeShade="FF" w:themeTint="FF"/>
          <w:sz w:val="10"/>
          <w:szCs w:val="10"/>
        </w:rPr>
      </w:pPr>
    </w:p>
    <w:p w:rsidRPr="2030048C" w:rsidP="2030048C">
      <w:pPr>
        <w:rPr>
          <w:rFonts w:ascii="Times New Roman" w:eastAsia="Times New Roman" w:hAnsi="Times New Roman" w:cs="Times New Roman"/>
          <w:color w:val="000000" w:themeColor="text1" w:themeShade="FF" w:themeTint="FF"/>
          <w:sz w:val="24"/>
          <w:szCs w:val="24"/>
        </w:rPr>
      </w:pPr>
      <w:r w:rsidRPr="2030048C">
        <w:rPr>
          <w:rFonts w:ascii="Times New Roman" w:eastAsia="Times New Roman" w:hAnsi="Times New Roman" w:cs="Times New Roman"/>
          <w:color w:val="000000" w:themeColor="text1" w:themeShade="FF" w:themeTint="FF"/>
          <w:sz w:val="24"/>
          <w:szCs w:val="24"/>
        </w:rPr>
        <w:br/>
      </w:r>
    </w:p>
    <w:p w:rsidRPr="2030048C" w:rsidP="2030048C">
      <w:pPr>
        <w:pStyle w:val="p"/>
        <w:spacing w:before="0" w:after="0"/>
        <w:ind w:left="0" w:right="0"/>
        <w:jc w:val="both"/>
        <w:rPr>
          <w:rFonts w:ascii="Arial" w:eastAsia="Arial" w:hAnsi="Arial" w:cs="Arial"/>
          <w:b/>
          <w:bCs/>
          <w:color w:val="000000" w:themeColor="text1" w:themeShade="FF" w:themeTint="FF"/>
          <w:sz w:val="10"/>
          <w:szCs w:val="10"/>
        </w:rPr>
      </w:pPr>
    </w:p>
    <w:p w:rsidRPr="2030048C" w:rsidP="2030048C">
      <w:pPr>
        <w:pStyle w:val="p"/>
        <w:spacing w:before="0" w:after="0"/>
        <w:ind w:left="709" w:right="0"/>
        <w:jc w:val="both"/>
        <w:rPr>
          <w:rFonts w:ascii="Times New Roman" w:eastAsia="Times New Roman" w:hAnsi="Times New Roman" w:cs="Times New Roman"/>
          <w:color w:val="000000" w:themeColor="text1" w:themeShade="FF" w:themeTint="FF"/>
          <w:sz w:val="22"/>
          <w:szCs w:val="22"/>
        </w:rPr>
      </w:pPr>
      <w:r w:rsidRPr="2030048C">
        <w:rPr>
          <w:rFonts w:ascii="Arial" w:eastAsia="Arial" w:hAnsi="Arial" w:cs="Arial"/>
          <w:color w:val="000000" w:themeColor="text1" w:themeShade="FF" w:themeTint="FF"/>
          <w:sz w:val="22"/>
          <w:szCs w:val="22"/>
        </w:rPr>
        <w:t>Please refer to the Course Diagram at the end of this document.</w:t>
      </w:r>
    </w:p>
    <w:p w:rsidRPr="2030048C" w:rsidP="2030048C">
      <w:pPr>
        <w:pStyle w:val="p"/>
        <w:spacing w:before="0" w:after="0"/>
        <w:ind w:left="709" w:right="0"/>
        <w:jc w:val="both"/>
        <w:rPr>
          <w:rFonts w:ascii="Times New Roman" w:eastAsia="Times New Roman" w:hAnsi="Times New Roman" w:cs="Times New Roman"/>
          <w:color w:val="000000" w:themeColor="text1" w:themeShade="FF" w:themeTint="FF"/>
          <w:sz w:val="22"/>
          <w:szCs w:val="22"/>
        </w:rPr>
      </w:pPr>
      <w:r w:rsidRPr="2030048C">
        <w:rPr>
          <w:rFonts w:ascii="Arial" w:eastAsia="Arial" w:hAnsi="Arial" w:cs="Arial"/>
          <w:color w:val="000000" w:themeColor="text1" w:themeShade="FF" w:themeTint="FF"/>
          <w:sz w:val="22"/>
          <w:szCs w:val="22"/>
        </w:rPr>
        <w:t>Each level is made up of four modules each worth 30 credit points.</w:t>
      </w:r>
      <w:r w:rsidRPr="2030048C">
        <w:rPr>
          <w:rFonts w:ascii="Arial" w:eastAsia="Arial" w:hAnsi="Arial" w:cs="Arial"/>
          <w:color w:val="000000" w:themeColor="text1" w:themeShade="FF" w:themeTint="FF"/>
          <w:sz w:val="22"/>
          <w:szCs w:val="22"/>
        </w:rPr>
        <w:t xml:space="preserve">  </w:t>
      </w:r>
      <w:r w:rsidRPr="2030048C">
        <w:rPr>
          <w:rFonts w:ascii="Arial" w:eastAsia="Arial" w:hAnsi="Arial" w:cs="Arial"/>
          <w:color w:val="000000" w:themeColor="text1" w:themeShade="FF" w:themeTint="FF"/>
          <w:sz w:val="22"/>
          <w:szCs w:val="22"/>
        </w:rPr>
        <w:t>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w:t>
      </w:r>
      <w:r w:rsidRPr="2030048C">
        <w:rPr>
          <w:rFonts w:ascii="Arial" w:eastAsia="Arial" w:hAnsi="Arial" w:cs="Arial"/>
          <w:color w:val="000000" w:themeColor="text1" w:themeShade="FF" w:themeTint="FF"/>
          <w:sz w:val="22"/>
          <w:szCs w:val="22"/>
        </w:rPr>
        <w:t xml:space="preserve">  </w:t>
      </w:r>
      <w:r w:rsidRPr="2030048C">
        <w:rPr>
          <w:rFonts w:ascii="Arial" w:eastAsia="Arial" w:hAnsi="Arial" w:cs="Arial"/>
          <w:color w:val="000000" w:themeColor="text1" w:themeShade="FF" w:themeTint="FF"/>
          <w:sz w:val="22"/>
          <w:szCs w:val="22"/>
        </w:rPr>
        <w:t>Full details of each module will be provided in module descriptors and student module guides.</w:t>
      </w:r>
      <w:r w:rsidRPr="2030048C">
        <w:rPr>
          <w:rFonts w:ascii="Arial" w:eastAsia="Arial" w:hAnsi="Arial" w:cs="Arial"/>
          <w:color w:val="000000" w:themeColor="text1" w:themeShade="FF" w:themeTint="FF"/>
          <w:sz w:val="22"/>
          <w:szCs w:val="22"/>
        </w:rPr>
        <w:t xml:space="preserve">  </w:t>
      </w:r>
    </w:p>
    <w:p w:rsidRPr="2030048C" w:rsidP="2030048C">
      <w:pPr>
        <w:pStyle w:val="p"/>
        <w:spacing w:before="0" w:after="0"/>
        <w:ind w:left="709" w:right="0"/>
        <w:jc w:val="both"/>
        <w:rPr>
          <w:rFonts w:ascii="Arial" w:eastAsia="Arial" w:hAnsi="Arial" w:cs="Arial"/>
          <w:color w:val="000000" w:themeColor="text1" w:themeShade="FF" w:themeTint="FF"/>
          <w:sz w:val="22"/>
          <w:szCs w:val="22"/>
        </w:rPr>
      </w:pPr>
    </w:p>
    <w:p w:rsidRPr="2030048C" w:rsidP="2030048C">
      <w:pPr>
        <w:pStyle w:val="p"/>
        <w:spacing w:before="0" w:after="0"/>
        <w:ind w:left="0" w:right="0"/>
        <w:jc w:val="both"/>
        <w:rPr>
          <w:rFonts w:ascii="Calibri" w:eastAsia="Calibri" w:hAnsi="Calibri" w:cs="Calibri"/>
          <w:color w:val="000000" w:themeColor="text1" w:themeShade="FF" w:themeTint="FF"/>
          <w:sz w:val="22"/>
          <w:szCs w:val="22"/>
        </w:rPr>
      </w:pPr>
    </w:p>
    <w:p w:rsidRPr="2030048C" w:rsidP="2030048C">
      <w:pPr>
        <w:pStyle w:val="p"/>
        <w:spacing w:before="0" w:after="0"/>
        <w:ind w:left="0" w:right="0"/>
        <w:jc w:val="both"/>
        <w:rPr>
          <w:rFonts w:ascii="Calibri" w:eastAsia="Calibri" w:hAnsi="Calibri" w:cs="Calibri"/>
          <w:color w:val="000000" w:themeColor="text1" w:themeShade="FF" w:themeTint="FF"/>
          <w:sz w:val="22"/>
          <w:szCs w:val="22"/>
        </w:rPr>
      </w:pPr>
      <w:r w:rsidRPr="2030048C">
        <w:rPr>
          <w:rFonts w:ascii="Times New Roman" w:eastAsia="Times New Roman" w:hAnsi="Times New Roman" w:cs="Times New Roman"/>
          <w:color w:val="000000" w:themeColor="text1" w:themeShade="FF" w:themeTint="FF"/>
          <w:sz w:val="22"/>
          <w:szCs w:val="22"/>
        </w:rPr>
        <w:drawing>
          <wp:anchor simplePos="0" relativeHeight="251658240" behindDoc="0" locked="0" layoutInCell="1" allowOverlap="1">
            <wp:simplePos x="0" y="0"/>
            <wp:positionH relativeFrom="column">
              <wp:posOffset>1390650</wp:posOffset>
            </wp:positionH>
            <wp:positionV relativeFrom="paragraph">
              <wp:posOffset>24765</wp:posOffset>
            </wp:positionV>
            <wp:extent cx="914400" cy="342900"/>
            <wp:wrapNone/>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1"/>
                    <a:stretch>
                      <a:fillRect/>
                    </a:stretch>
                  </pic:blipFill>
                  <pic:spPr>
                    <a:xfrm>
                      <a:off x="0" y="0"/>
                      <a:ext cx="914400" cy="342900"/>
                    </a:xfrm>
                    <a:prstGeom prst="rect">
                      <a:avLst/>
                    </a:prstGeom>
                  </pic:spPr>
                </pic:pic>
              </a:graphicData>
            </a:graphic>
          </wp:anchor>
        </w:drawing>
      </w:r>
      <w:r w:rsidRPr="2030048C">
        <w:rPr>
          <w:rFonts w:ascii="Times New Roman" w:eastAsia="Times New Roman" w:hAnsi="Times New Roman" w:cs="Times New Roman"/>
          <w:color w:val="000000" w:themeColor="text1" w:themeShade="FF" w:themeTint="FF"/>
          <w:sz w:val="22"/>
          <w:szCs w:val="22"/>
        </w:rPr>
        <w:drawing>
          <wp:anchor simplePos="0" relativeHeight="251659264" behindDoc="0" locked="0" layoutInCell="1" allowOverlap="1">
            <wp:simplePos x="0" y="0"/>
            <wp:positionH relativeFrom="column">
              <wp:posOffset>4293870</wp:posOffset>
            </wp:positionH>
            <wp:positionV relativeFrom="paragraph">
              <wp:posOffset>26035</wp:posOffset>
            </wp:positionV>
            <wp:extent cx="914400" cy="247650"/>
            <wp:wrapNone/>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12"/>
                    <a:stretch>
                      <a:fillRect/>
                    </a:stretch>
                  </pic:blipFill>
                  <pic:spPr>
                    <a:xfrm>
                      <a:off x="0" y="0"/>
                      <a:ext cx="914400" cy="247650"/>
                    </a:xfrm>
                    <a:prstGeom prst="rect">
                      <a:avLst/>
                    </a:prstGeom>
                  </pic:spPr>
                </pic:pic>
              </a:graphicData>
            </a:graphic>
          </wp:anchor>
        </w:drawing>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Quantity Surveying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Quantity Surveying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Construction Technology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CE4036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Law and Regulatory Context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CE4035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Quantification of Construction Works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CE4034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Navigate for Professional Engineers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People and Organisation Management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CE4033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Principles of Surveying Practice in Context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CE4032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Quantity Surveying.</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Quantity Surveying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Advanced Quantification of Construction Works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Construction Technology and Environmental Services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CE5033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Design Economics and Cost Planning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Digital Technologies and Construction Modelling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CE5032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Engineering Project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CE5034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Procurement and Contract Administration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Quantity Surveying.</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Quantity Surveying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Construction Information Management Systems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CE6035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Construction Law and Contract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CE6036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Professional Quantity Surveying Practice (Consultancy)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Project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CE6033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Quantity Surveying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Quantity Surveying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Quantity Surveying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CI5999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Quantity Surveying with Foundation Year and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C"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7"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Quantity Surveying with Foundation Year and Professional Placement</w:t>
            </w:r>
          </w:p>
        </w:tc>
      </w:tr>
      <w:tr w14:paraId="6F03CED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B"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CI5999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jc w:val="both"/>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804"/>
        <w:gridCol w:w="168"/>
        <w:gridCol w:w="1"/>
        <w:gridCol w:w="424"/>
        <w:gridCol w:w="1"/>
        <w:gridCol w:w="424"/>
        <w:gridCol w:w="1"/>
        <w:gridCol w:w="424"/>
        <w:gridCol w:w="1"/>
        <w:gridCol w:w="424"/>
        <w:gridCol w:w="1"/>
        <w:gridCol w:w="424"/>
        <w:gridCol w:w="1"/>
        <w:gridCol w:w="424"/>
        <w:gridCol w:w="1"/>
        <w:gridCol w:w="2"/>
        <w:gridCol w:w="422"/>
        <w:gridCol w:w="1"/>
        <w:gridCol w:w="382"/>
        <w:gridCol w:w="1"/>
        <w:gridCol w:w="424"/>
        <w:gridCol w:w="1"/>
        <w:gridCol w:w="424"/>
        <w:gridCol w:w="1"/>
        <w:gridCol w:w="424"/>
        <w:gridCol w:w="1"/>
        <w:gridCol w:w="424"/>
        <w:gridCol w:w="1"/>
        <w:gridCol w:w="424"/>
        <w:gridCol w:w="1"/>
        <w:gridCol w:w="3"/>
        <w:gridCol w:w="421"/>
        <w:gridCol w:w="1"/>
        <w:gridCol w:w="424"/>
        <w:gridCol w:w="1"/>
        <w:gridCol w:w="424"/>
        <w:gridCol w:w="1"/>
        <w:gridCol w:w="424"/>
        <w:gridCol w:w="1"/>
        <w:gridCol w:w="424"/>
        <w:gridCol w:w="1"/>
        <w:gridCol w:w="42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1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1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CE4021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CE4033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CE4035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CE4032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CE4036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CE4034</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CE5032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CI5999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CE5034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CE5031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CE5033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CE5025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CE5026</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CE6035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CE6030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CE6036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CE6033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image" Target="media/image3.png"/><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image" Target="media/image2.png"/><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footer" Target="footer1.xm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199AB689-0352-4F9A-9903-4294181D3139}"/>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