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Quantity Surveying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01/12/2023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05/11/2025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Civil Engineering, Surveying and Construction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Quantity Surveying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Quantity Surveying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Quantity Surveying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Quantity Surveying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UFQSV1QSV20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K281(3 Years Full-time) K240 (4 Years Sandwich)Apply direct to the University (5 Years Part-time)</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Quantity Surveying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Quantity Surveying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Quantity Surveying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Quantity Surveying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UFQSV1QSV55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Quantity Surveying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Quantity Surveying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Quantity Surveying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Quantity Surveying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USQSV1QSV45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D"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Quantity Surveying with Foundation Year and Professional Placement</w:t>
            </w:r>
          </w:p>
          <w:p w:rsidR="72431AC7" w:rsidP="540725A5" w14:textId="77777777">
            <w:pPr>
              <w:rPr>
                <w:rFonts w:ascii="Arial" w:eastAsia="Arial" w:hAnsi="Arial" w:cs="Arial"/>
                <w:b w:val="0"/>
                <w:bCs w:val="0"/>
                <w:sz w:val="24"/>
                <w:szCs w:val="24"/>
              </w:rPr>
            </w:pPr>
          </w:p>
        </w:tc>
      </w:tr>
      <w:tr w14:paraId="34BB979E"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Quantity Surveying with Foundation Year and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Quantity Surveying with Foundation Year and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Quantity Surveying with Foundation Year and Professional Placement</w:t>
            </w:r>
            <w:r>
              <w:br/>
            </w:r>
          </w:p>
        </w:tc>
      </w:tr>
      <w:tr w14:paraId="2A120395"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USQSV1QSV56</w:t>
            </w:r>
          </w:p>
        </w:tc>
      </w:tr>
      <w:tr w14:paraId="78C565EB"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 Kingston</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&lt;p&gt;The University and its courses are regulated by the Office for Students&lt;/p&gt;</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Chartered Institute of Building (CIOB)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Royal Institute of Chartered Surveyor (RICS) </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jc w:val="both"/>
              <w:rPr>
                <w:rStyle w:val="normaltextrun"/>
                <w:rFonts w:ascii="Times New Roman" w:eastAsia="Times New Roman" w:hAnsi="Times New Roman" w:cs="Times New Roman"/>
                <w:b w:val="0"/>
                <w:bCs w:val="0"/>
                <w:color w:val="000000" w:themeColor="text1" w:themeShade="FF" w:themeTint="FF"/>
                <w:sz w:val="22"/>
                <w:szCs w:val="22"/>
              </w:rPr>
            </w:pPr>
            <w:r w:rsidRPr="158602C4">
              <w:rPr>
                <w:rStyle w:val="normaltextrun"/>
                <w:rFonts w:ascii="Arial" w:eastAsia="Arial" w:hAnsi="Arial" w:cs="Arial"/>
                <w:b w:val="0"/>
                <w:bCs w:val="0"/>
                <w:color w:val="000000" w:themeColor="text1" w:themeShade="FF" w:themeTint="FF"/>
                <w:sz w:val="22"/>
                <w:szCs w:val="22"/>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general aim of the course is: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equip graduates with the necessary skills and knowledge needed to be able to manage a construction project from inception and design through occupation, working towards cost-efficient, safely and on time whilst gaining the necessary employability skills such as problem-solving, digital competence and adaptability enabling graduates to follow careers in related professional disciplines.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More specific aims of the course are: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produce graduates with a breadth and depth of knowledge and a thorough comprehension of the key aspects of the construction industry within a business perspective.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understand and advise on the procurement process and be able to play a key advisory role within the decision-making team.</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develop a critical knowledge of the theory and practice of estimating, cost planning and pricing taking due account of risks and life cycle costs.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furnish students with a sound working knowledge of existing and emerging measurement techniques including the ability to measure complex structures, and the role of IT within measurement.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allow students to develop analytical skills and an ability to evaluate evidence and assumptions to reach sound judgements and communicate these effectively.</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provide quantity surveying graduates to the construction industry who have a creative approach to the solution of problems and the requisite technical skills to realise these solutions.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furnish graduates with a firm grasp of Sustainability and Health and Safety within the context of their discipline.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provide graduates with reflective skills to recognise the need to continually develop themselves in order to exercise their professional judgement.</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develop the understanding, knowledge, and skills to become, after appropriate further practical experience, competent practitioners of quantity surveying.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equip students with the research skills required for postgraduate study and the employability skills required for work in the construction and related industries.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Relate all their studies to a knowledge and holistic understanding of sustainability including social, economic and environmental aspects within the context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positive attitude to learning that encourages continuing professional development throughout their careers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construction documentation including producing estimates, cost planning and compiling pricing and tender documents.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the theory and practice of cost planning, risk, life-cycle and sustainability initiatives to support application of key theories and principles used in the management of construction and the other disciplines of the built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sustainability,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digital technologies to support interdisciplinary collaborative working in the construction management process.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appreciation of principles and processes that deliver an inclusive environment recognising the diversity of user needs including communities and the stakeholders, and the importance of professional ethics.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the information and knowledge base within which they are working and be able to challenge ideas rationally and constructively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Utilise management techniques to control design and construction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in-depth understanding of the various professional roles and parties involved in all stages of the project life cycle and the law and its regulatory context relating to land, contracts, tortious liability, conflict avoidance and dispute resolution, matters pertaining to professional practice and ethics and to have developed a critical appreciation of legal matters relating to contract administration;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practice related problems and prepare logically sound and evidence-based plans for their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standard industry software packages for estimating measurement and project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sound understanding of professional issues affecting the construction technology and use of resources in residential/commercial structures and infrastructure projects, procurement, cost estimating/control and the construction management process;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Manage projects, people, resources and time taking account of sustainability, legal and statutory requirements, risk, safety, quality and reliability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Prepare project appraisals, measure and quantify construction works, produce estimates, cost plans, cost reports to support the design development process and production of project information used in the commercial management of projects.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management of construction identifying the key concepts and principles used in construction management including business, legal, cultural and ethical and recognising the regulatory systems including building and planning regulations.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importance of professional bodies and the professional conduct expected of Construction Managers and Professional Engineers.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procedures relevant to standard contracts and statutory controls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pStyle w:val="p"/>
        <w:spacing w:before="0" w:after="0"/>
        <w:ind w:left="0" w:right="0"/>
        <w:jc w:val="both"/>
        <w:rPr>
          <w:rFonts w:ascii="Arial" w:eastAsia="Arial" w:hAnsi="Arial" w:cs="Arial"/>
          <w:color w:val="000000" w:themeColor="text1" w:themeShade="FF" w:themeTint="FF"/>
          <w:sz w:val="10"/>
          <w:szCs w:val="10"/>
        </w:rPr>
      </w:pPr>
    </w:p>
    <w:p w:rsidRPr="2030048C" w:rsidP="2030048C">
      <w:pPr>
        <w:pStyle w:val="p"/>
        <w:spacing w:before="0" w:after="0"/>
        <w:ind w:left="0"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This programme is offered in full-time/sandwich and part-time modes, and leads to the award of BSc (Hons) Quantity Surveying</w:t>
      </w:r>
      <w:r w:rsidRPr="2030048C">
        <w:rPr>
          <w:rFonts w:ascii="Arial" w:eastAsia="Arial" w:hAnsi="Arial" w:cs="Arial"/>
          <w:color w:val="000000" w:themeColor="text1" w:themeShade="FF" w:themeTint="FF"/>
          <w:sz w:val="22"/>
          <w:szCs w:val="22"/>
        </w:rPr>
        <w:t xml:space="preserve"> Consultancy</w:t>
      </w:r>
      <w:r w:rsidRPr="2030048C">
        <w:rPr>
          <w:rFonts w:ascii="Arial" w:eastAsia="Arial" w:hAnsi="Arial" w:cs="Arial"/>
          <w:color w:val="000000" w:themeColor="text1" w:themeShade="FF" w:themeTint="FF"/>
          <w:sz w:val="22"/>
          <w:szCs w:val="22"/>
        </w:rPr>
        <w:t>.</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Entry is normally at level 4 with A-level or equivalent qualifications (See section D).</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Transfer from a similar programme is possible at level 5 with passes in comparable level 4 modules – but is at the discretion of the course team.</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 xml:space="preserve">Intake is normally in September. Entry is not allowed directly into Level 6. </w:t>
      </w:r>
    </w:p>
    <w:p w:rsidRPr="2030048C" w:rsidP="2030048C">
      <w:pPr>
        <w:pStyle w:val="p"/>
        <w:spacing w:before="0" w:after="0"/>
        <w:ind w:left="0" w:right="0"/>
        <w:jc w:val="both"/>
        <w:rPr>
          <w:rFonts w:ascii="Arial" w:eastAsia="Arial" w:hAnsi="Arial" w:cs="Arial"/>
          <w:color w:val="000000" w:themeColor="text1" w:themeShade="FF" w:themeTint="FF"/>
          <w:sz w:val="10"/>
          <w:szCs w:val="10"/>
        </w:rPr>
      </w:pPr>
    </w:p>
    <w:p w:rsidRPr="2030048C" w:rsidP="2030048C">
      <w:pPr>
        <w:rPr>
          <w:rFonts w:ascii="Times New Roman" w:eastAsia="Times New Roman" w:hAnsi="Times New Roman" w:cs="Times New Roman"/>
          <w:color w:val="000000" w:themeColor="text1" w:themeShade="FF" w:themeTint="FF"/>
          <w:sz w:val="24"/>
          <w:szCs w:val="24"/>
        </w:rPr>
      </w:pPr>
      <w:r w:rsidRPr="2030048C">
        <w:rPr>
          <w:rFonts w:ascii="Times New Roman" w:eastAsia="Times New Roman" w:hAnsi="Times New Roman" w:cs="Times New Roman"/>
          <w:color w:val="000000" w:themeColor="text1" w:themeShade="FF" w:themeTint="FF"/>
          <w:sz w:val="24"/>
          <w:szCs w:val="24"/>
        </w:rPr>
        <w:br/>
      </w:r>
    </w:p>
    <w:p w:rsidRPr="2030048C" w:rsidP="2030048C">
      <w:pPr>
        <w:pStyle w:val="p"/>
        <w:spacing w:before="0" w:after="0"/>
        <w:ind w:left="0" w:right="0"/>
        <w:jc w:val="both"/>
        <w:rPr>
          <w:rFonts w:ascii="Arial" w:eastAsia="Arial" w:hAnsi="Arial" w:cs="Arial"/>
          <w:b/>
          <w:bCs/>
          <w:color w:val="000000" w:themeColor="text1" w:themeShade="FF" w:themeTint="FF"/>
          <w:sz w:val="10"/>
          <w:szCs w:val="10"/>
        </w:rPr>
      </w:pPr>
    </w:p>
    <w:p w:rsidRPr="2030048C" w:rsidP="2030048C">
      <w:pPr>
        <w:pStyle w:val="p"/>
        <w:spacing w:before="0" w:after="0"/>
        <w:ind w:left="709"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Please refer to the Course Diagram at the end of this document.</w:t>
      </w:r>
    </w:p>
    <w:p w:rsidRPr="2030048C" w:rsidP="2030048C">
      <w:pPr>
        <w:pStyle w:val="p"/>
        <w:spacing w:before="0" w:after="0"/>
        <w:ind w:left="709" w:right="0"/>
        <w:jc w:val="both"/>
        <w:rPr>
          <w:rFonts w:ascii="Times New Roman" w:eastAsia="Times New Roman" w:hAnsi="Times New Roman" w:cs="Times New Roman"/>
          <w:color w:val="000000" w:themeColor="text1" w:themeShade="FF" w:themeTint="FF"/>
          <w:sz w:val="22"/>
          <w:szCs w:val="22"/>
        </w:rPr>
      </w:pPr>
      <w:r w:rsidRPr="2030048C">
        <w:rPr>
          <w:rFonts w:ascii="Arial" w:eastAsia="Arial" w:hAnsi="Arial" w:cs="Arial"/>
          <w:color w:val="000000" w:themeColor="text1" w:themeShade="FF" w:themeTint="FF"/>
          <w:sz w:val="22"/>
          <w:szCs w:val="22"/>
        </w:rPr>
        <w:t>Each level is made up of four modules each worth 30 credit points.</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w:t>
      </w:r>
      <w:r w:rsidRPr="2030048C">
        <w:rPr>
          <w:rFonts w:ascii="Arial" w:eastAsia="Arial" w:hAnsi="Arial" w:cs="Arial"/>
          <w:color w:val="000000" w:themeColor="text1" w:themeShade="FF" w:themeTint="FF"/>
          <w:sz w:val="22"/>
          <w:szCs w:val="22"/>
        </w:rPr>
        <w:t xml:space="preserve">  </w:t>
      </w:r>
      <w:r w:rsidRPr="2030048C">
        <w:rPr>
          <w:rFonts w:ascii="Arial" w:eastAsia="Arial" w:hAnsi="Arial" w:cs="Arial"/>
          <w:color w:val="000000" w:themeColor="text1" w:themeShade="FF" w:themeTint="FF"/>
          <w:sz w:val="22"/>
          <w:szCs w:val="22"/>
        </w:rPr>
        <w:t>Full details of each module will be provided in module descriptors and student module guides.</w:t>
      </w:r>
      <w:r w:rsidRPr="2030048C">
        <w:rPr>
          <w:rFonts w:ascii="Arial" w:eastAsia="Arial" w:hAnsi="Arial" w:cs="Arial"/>
          <w:color w:val="000000" w:themeColor="text1" w:themeShade="FF" w:themeTint="FF"/>
          <w:sz w:val="22"/>
          <w:szCs w:val="22"/>
        </w:rPr>
        <w:t xml:space="preserve">  </w:t>
      </w:r>
    </w:p>
    <w:p w:rsidRPr="2030048C" w:rsidP="2030048C">
      <w:pPr>
        <w:pStyle w:val="p"/>
        <w:spacing w:before="0" w:after="0"/>
        <w:ind w:left="709" w:right="0"/>
        <w:jc w:val="both"/>
        <w:rPr>
          <w:rFonts w:ascii="Arial" w:eastAsia="Arial" w:hAnsi="Arial" w:cs="Arial"/>
          <w:color w:val="000000" w:themeColor="text1" w:themeShade="FF" w:themeTint="FF"/>
          <w:sz w:val="22"/>
          <w:szCs w:val="22"/>
        </w:rPr>
      </w:pPr>
    </w:p>
    <w:p w:rsidRPr="2030048C" w:rsidP="2030048C">
      <w:pPr>
        <w:pStyle w:val="p"/>
        <w:spacing w:before="0" w:after="0"/>
        <w:ind w:left="0" w:right="0"/>
        <w:jc w:val="both"/>
        <w:rPr>
          <w:rFonts w:ascii="Calibri" w:eastAsia="Calibri" w:hAnsi="Calibri" w:cs="Calibri"/>
          <w:color w:val="000000" w:themeColor="text1" w:themeShade="FF" w:themeTint="FF"/>
          <w:sz w:val="22"/>
          <w:szCs w:val="22"/>
        </w:rPr>
      </w:pPr>
    </w:p>
    <w:p w:rsidRPr="2030048C" w:rsidP="2030048C">
      <w:pPr>
        <w:pStyle w:val="p"/>
        <w:spacing w:before="0" w:after="0"/>
        <w:ind w:left="0" w:right="0"/>
        <w:jc w:val="both"/>
        <w:rPr>
          <w:rFonts w:ascii="Calibri" w:eastAsia="Calibri" w:hAnsi="Calibri" w:cs="Calibri"/>
          <w:color w:val="000000" w:themeColor="text1" w:themeShade="FF" w:themeTint="FF"/>
          <w:sz w:val="22"/>
          <w:szCs w:val="22"/>
        </w:rPr>
      </w:pPr>
      <w:r w:rsidRPr="2030048C">
        <w:rPr>
          <w:rFonts w:ascii="Times New Roman" w:eastAsia="Times New Roman" w:hAnsi="Times New Roman" w:cs="Times New Roman"/>
          <w:color w:val="000000" w:themeColor="text1" w:themeShade="FF" w:themeTint="FF"/>
          <w:sz w:val="22"/>
          <w:szCs w:val="22"/>
        </w:rPr>
        <w:drawing>
          <wp:anchor simplePos="0" relativeHeight="251658240" behindDoc="0" locked="0" layoutInCell="1" allowOverlap="1">
            <wp:simplePos x="0" y="0"/>
            <wp:positionH relativeFrom="column">
              <wp:posOffset>1390650</wp:posOffset>
            </wp:positionH>
            <wp:positionV relativeFrom="paragraph">
              <wp:posOffset>24765</wp:posOffset>
            </wp:positionV>
            <wp:extent cx="914400" cy="342900"/>
            <wp:wrapNone/>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914400" cy="342900"/>
                    </a:xfrm>
                    <a:prstGeom prst="rect">
                      <a:avLst/>
                    </a:prstGeom>
                  </pic:spPr>
                </pic:pic>
              </a:graphicData>
            </a:graphic>
          </wp:anchor>
        </w:drawing>
      </w:r>
      <w:r w:rsidRPr="2030048C">
        <w:rPr>
          <w:rFonts w:ascii="Times New Roman" w:eastAsia="Times New Roman" w:hAnsi="Times New Roman" w:cs="Times New Roman"/>
          <w:color w:val="000000" w:themeColor="text1" w:themeShade="FF" w:themeTint="FF"/>
          <w:sz w:val="22"/>
          <w:szCs w:val="22"/>
        </w:rPr>
        <w:drawing>
          <wp:anchor simplePos="0" relativeHeight="251659264" behindDoc="0" locked="0" layoutInCell="1" allowOverlap="1">
            <wp:simplePos x="0" y="0"/>
            <wp:positionH relativeFrom="column">
              <wp:posOffset>4293870</wp:posOffset>
            </wp:positionH>
            <wp:positionV relativeFrom="paragraph">
              <wp:posOffset>26035</wp:posOffset>
            </wp:positionV>
            <wp:extent cx="914400" cy="247650"/>
            <wp:wrapNone/>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2"/>
                    <a:stretch>
                      <a:fillRect/>
                    </a:stretch>
                  </pic:blipFill>
                  <pic:spPr>
                    <a:xfrm>
                      <a:off x="0" y="0"/>
                      <a:ext cx="914400" cy="247650"/>
                    </a:xfrm>
                    <a:prstGeom prst="rect">
                      <a:avLst/>
                    </a:prstGeom>
                  </pic:spPr>
                </pic:pic>
              </a:graphicData>
            </a:graphic>
          </wp:anchor>
        </w:drawing>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Quantity Surveying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Quantity Surveying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Construction Technology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Law and Regulatory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Quantification of Construction Works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Navigate for Professional Engineers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People and Organisation Management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Principles of Surveying Practice in Context</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CE4032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1</w:t>
            </w: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 in Quantity Surveying.</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Quantity Surveying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Quantification of Construction Works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Construction Technology and Environmental Services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Design Economics and Cost Planning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CE5026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Digital Technologies and Construction Modelling</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Exploring Engineering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r w14:paraId="23C84FB9"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Procurement and Contract Administration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CE5031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2</w:t>
            </w: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in Quantity Surveying.</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Quantity Surveying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Information Management Systems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Construction Law and Contract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Individual 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Professional Quantity Surveying Practice (Consultancy)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&amp;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r w14:paraId="5B322027"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CE6033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Quantity Surveying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Quantity Surveying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Quantity Surveying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A"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Quantity Surveying with Foundation Year and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C"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7"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Quantity Surveying with Foundation Year and Professional Placement</w:t>
            </w:r>
          </w:p>
        </w:tc>
      </w:tr>
      <w:tr w14:paraId="6F03CED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B"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r w:rsidRPr="540725A5" w:rsidR="073AEBF5">
              <w:rPr>
                <w:rFonts w:ascii="Arial" w:eastAsia="Arial" w:hAnsi="Arial" w:cs="Arial"/>
                <w:sz w:val="24"/>
                <w:szCs w:val="24"/>
              </w:rPr>
              <w:t>3</w:t>
            </w: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3"/>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both"/>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804"/>
        <w:gridCol w:w="168"/>
        <w:gridCol w:w="1"/>
        <w:gridCol w:w="424"/>
        <w:gridCol w:w="1"/>
        <w:gridCol w:w="424"/>
        <w:gridCol w:w="1"/>
        <w:gridCol w:w="424"/>
        <w:gridCol w:w="1"/>
        <w:gridCol w:w="424"/>
        <w:gridCol w:w="1"/>
        <w:gridCol w:w="424"/>
        <w:gridCol w:w="1"/>
        <w:gridCol w:w="424"/>
        <w:gridCol w:w="1"/>
        <w:gridCol w:w="2"/>
        <w:gridCol w:w="422"/>
        <w:gridCol w:w="1"/>
        <w:gridCol w:w="382"/>
        <w:gridCol w:w="1"/>
        <w:gridCol w:w="424"/>
        <w:gridCol w:w="1"/>
        <w:gridCol w:w="424"/>
        <w:gridCol w:w="1"/>
        <w:gridCol w:w="424"/>
        <w:gridCol w:w="1"/>
        <w:gridCol w:w="424"/>
        <w:gridCol w:w="1"/>
        <w:gridCol w:w="424"/>
        <w:gridCol w:w="1"/>
        <w:gridCol w:w="3"/>
        <w:gridCol w:w="421"/>
        <w:gridCol w:w="1"/>
        <w:gridCol w:w="424"/>
        <w:gridCol w:w="1"/>
        <w:gridCol w:w="424"/>
        <w:gridCol w:w="1"/>
        <w:gridCol w:w="424"/>
        <w:gridCol w:w="1"/>
        <w:gridCol w:w="424"/>
        <w:gridCol w:w="1"/>
        <w:gridCol w:w="42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1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1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1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CE4021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CE4034</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CE5033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CE5026</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CE6025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CE6033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image" Target="media/image3.png"/><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99AB689-0352-4F9A-9903-4294181D3139}"/>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