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Geography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23/12/2025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23/12/2025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02/09/2026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Geography, Geology &amp; the Environment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Geography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Geography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Geography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Geography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UFGGO1GGO02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F800 BScF801 (Placement)</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Geography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Geography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Geography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Geography with Foundation Year</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UFGGO1GGO55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Geography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Geography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Geography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Geography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USGGO1GGO45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Royal Geographical Society (RGS)</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rPr>
                <w:rStyle w:val="normaltextrun"/>
                <w:rFonts w:ascii="Arial" w:eastAsia="Arial" w:hAnsi="Arial" w:cs="Arial"/>
                <w:b/>
                <w:bCs/>
                <w:color w:val="000000" w:themeColor="text1" w:themeShade="FF" w:themeTint="FF"/>
                <w:sz w:val="24"/>
                <w:szCs w:val="24"/>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None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course offers an integrated exploration of the dynamic relationships between societies and environments across spatial and temporal scales. Students will critically examine the causes and consequences of environmental and societal change, and how these interact globally. Emphasis is placed on pressing challenges such as climate change, sustainable development, poverty, hunger, human rights, and environmental and social justice.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will engage with diverse perspectives and ethical considerations surrounding development and sustainability, while analysing how these issues manifest differently across global contexts. The course encourages critical reflection on knowledge production and positionality, valuing multiple ways of understanding the world.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Core aims include: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Understanding human-environment interactions and their variability across places.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Developing evidence-based strategies to address global challenges.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Building analytical and technical skills in data collection, GIS, AI, and geographical representation.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Promoting inclusive content and pedagogy allowing students to bring their personal experiences and ambitions to the fore.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Promoting learning through doing, a focus on practical and skills-based experiential learning.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Supporting employability through experiential learning and opportunity for internships, placements, and volunteering (e.g. as exemplified in the Future Skills modules).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Students taking the optional placement year will gain professional experience, applying their geographical knowledge in practice and enhancing their career readiness.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insight into the reciprocal relationships between societies and environments at multiple spatial and temporal scales, into the drivers of change and variability, and into the interdependency of places.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Design and implement an effective field-based research project which answers specific research questions and evaluates the contribution of findings for research or for policy.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Confidently apply tools to select, analyse, present and communicate geographical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insight into sustainability and sustainable development practices in relation to the complex interactions between societies and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Evaluate the diversity of techniques and approaches involved in collecting and analysing both qualitative and quantitative geographical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Execute autonomous and well organised study skills and time management to achieve consistent, proficient and sustained attainment.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history of geography, the diversity of epistemological approaches that have underpinned geographical enquiry over time, and of the relevant contexts and legacies of past and present geographical knowledge production.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geographical ideas, principles and theories with flair, accuracy and sophistication by written, oral and graphical means and is appropriate for both academic and non-academic audiences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teamworking skills and supportive participation with others to achieve objectives.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reflective understanding of geographical concepts in different situations and critically reflect on the accuracy, precision and uncertainty of research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reflect on a range of views (including one's own) about geographical issues and critically evaluate the potential implications for others.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reflect on the process of learning, evaluating personal strengths and weaknesses, exploring career aspirations, and demonstrating an understanding of strategies for personal development.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an understanding of the practical applications of geographical knowledge in a range of workplace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Students opting for a professional placement year will additionally: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Synthesise the experiences of the workplace environment to the academic study of Geography</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Students opting for a professional placement year will additionally:</w:t>
            </w:r>
          </w:p>
          <w:p w:rsidR="3A9B68BE" w:rsidRPr="22ACACF3" w:rsidP="22ACACF3">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Pr>
                <w:rStyle w:val="normaltextrun"/>
                <w:rFonts w:ascii="Arial" w:eastAsia="Arial" w:hAnsi="Arial" w:cs="Arial"/>
                <w:color w:val="000000" w:themeColor="text1" w:themeShade="FF" w:themeTint="FF"/>
                <w:sz w:val="24"/>
                <w:szCs w:val="24"/>
                <w:lang w:val="en-GB"/>
              </w:rPr>
              <w:t>Transcribe and apply the experiences of the practical work-based environment to academic study and chosen career aspirations.</w:t>
            </w:r>
            <w:r w:rsidRPr="22ACACF3">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This programme is offered in 3 year full-time, 4 year full-time with professional placement and leads to the award of either BSc (Hons) Geography or BSc (Hons) Geography with Professional Placement.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Entry is normally at Level 4 with A-level or equivalent qualifications. Transfer from a similar course is possible at Level 5 with passes in comparable Level 4 modules – but is at the discretion of the course team. Intake is in September.</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Full details of each module will be provided in module descriptors and on CANVAS.</w:t>
      </w:r>
    </w:p>
    <w:p w:rsidRPr="2030048C" w:rsidP="2030048C">
      <w:pPr>
        <w:pStyle w:val="MsoBodyText"/>
        <w:ind w:right="375"/>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lang w:val="en-US" w:eastAsia="en-US"/>
        </w:rPr>
        <w:t>Students on the 'with Foundation Year' route should refer to the Foundation Year in Science Programme Specification for details of the level 3/first year modules. </w:t>
      </w:r>
    </w:p>
    <w:p w:rsidRPr="2030048C" w:rsidP="2030048C">
      <w:pPr>
        <w:pStyle w:val="MsoBodyText"/>
        <w:ind w:right="375"/>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lang w:val="en-US" w:eastAsia="en-US"/>
        </w:rPr>
        <w:t>Students can progress from one level to the next with 30 credits trailing but they must pass the failed credits before progressing to the next level. This includes progressing to the placement year.</w:t>
      </w:r>
    </w:p>
    <w:p w:rsidRPr="2030048C" w:rsidP="2030048C">
      <w:pPr>
        <w:pStyle w:val="MsoBodyText"/>
        <w:ind w:right="375"/>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Future Skills Learning Outcomes are included:</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Navigate is embedded into </w:t>
      </w:r>
      <w:r w:rsidRPr="2030048C">
        <w:rPr>
          <w:rFonts w:ascii="Arial" w:eastAsia="Arial" w:hAnsi="Arial" w:cs="Arial"/>
          <w:i/>
          <w:iCs/>
          <w:color w:val="000000"/>
          <w:sz w:val="24"/>
          <w:szCs w:val="24"/>
        </w:rPr>
        <w:t>Skills for Professional Practice</w:t>
      </w:r>
      <w:r w:rsidRPr="2030048C">
        <w:rPr>
          <w:rFonts w:ascii="Arial" w:eastAsia="Arial" w:hAnsi="Arial" w:cs="Arial"/>
          <w:color w:val="000000"/>
          <w:sz w:val="24"/>
          <w:szCs w:val="24"/>
        </w:rPr>
        <w: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Explore is embedded into </w:t>
      </w:r>
      <w:r w:rsidRPr="2030048C">
        <w:rPr>
          <w:rFonts w:ascii="Arial" w:eastAsia="Arial" w:hAnsi="Arial" w:cs="Arial"/>
          <w:i/>
          <w:iCs/>
          <w:color w:val="000000"/>
          <w:sz w:val="24"/>
          <w:szCs w:val="24"/>
        </w:rPr>
        <w:t>Advanced Research Methods and Project Management.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 xml:space="preserve">AX6001 </w:t>
      </w:r>
      <w:r w:rsidRPr="2030048C">
        <w:rPr>
          <w:rFonts w:ascii="Arial" w:eastAsia="Arial" w:hAnsi="Arial" w:cs="Arial"/>
          <w:i/>
          <w:iCs/>
          <w:color w:val="000000"/>
          <w:sz w:val="24"/>
          <w:szCs w:val="24"/>
        </w:rPr>
        <w:t>Apply Future Skills</w:t>
      </w:r>
      <w:r w:rsidRPr="2030048C">
        <w:rPr>
          <w:rFonts w:ascii="Arial" w:eastAsia="Arial" w:hAnsi="Arial" w:cs="Arial"/>
          <w:color w:val="000000"/>
          <w:sz w:val="24"/>
          <w:szCs w:val="24"/>
        </w:rPr>
        <w: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Geography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Geography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Digital Mapping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Global Challenges in Human Geography and Sustainability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GG4012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Our Dynamic Earth</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Skills for Professional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GG4011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Geography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Research Methods and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Data Analytics and GIS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People, Place and Politics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Rivers, Oceans and the Atmosphere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Geography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Development Geographies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GG6400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Challenge of Climate Change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GG6070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Water and Society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GG6029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Geography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Geography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Geography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ACYR</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the nature of this environmental course is such that multiple SDGs are explored (e.g. SDG11Sustainable Cities and Communities, SDG13 Climate Action, etc.).</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w:t>
      </w:r>
      <w:r w:rsidRPr="2030048C">
        <w:rPr>
          <w:rFonts w:ascii="Arial" w:eastAsia="Arial" w:hAnsi="Arial" w:cs="Arial"/>
          <w:sz w:val="24"/>
          <w:szCs w:val="24"/>
        </w:rPr>
        <w:t>are supported through a range of services that provide academic and wider support. These include: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 of graded assignments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Accreditation by the Royal Geographical Society (RGS)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8"/>
        </w:numPr>
        <w:ind w:left="720" w:hanging="360"/>
        <w:jc w:val="left"/>
        <w:rPr>
          <w:rFonts w:ascii="Arial" w:eastAsia="Arial" w:hAnsi="Arial" w:cs="Arial"/>
          <w:sz w:val="24"/>
          <w:szCs w:val="24"/>
        </w:rPr>
      </w:pPr>
      <w:hyperlink r:id="rId11" w:history="1">
        <w:r w:rsidRPr="2030048C">
          <w:rPr>
            <w:rFonts w:ascii="Arial" w:eastAsia="Arial" w:hAnsi="Arial" w:cs="Arial"/>
            <w:sz w:val="24"/>
            <w:szCs w:val="24"/>
          </w:rPr>
          <w:t>PSRB standards</w:t>
        </w:r>
      </w:hyperlink>
    </w:p>
    <w:p w:rsidRPr="2030048C" w:rsidP="2030048C">
      <w:pPr>
        <w:numPr>
          <w:ilvl w:val="0"/>
          <w:numId w:val="18"/>
        </w:numPr>
        <w:ind w:left="720" w:hanging="360"/>
        <w:jc w:val="left"/>
        <w:rPr>
          <w:rFonts w:ascii="Arial" w:eastAsia="Arial" w:hAnsi="Arial" w:cs="Arial"/>
          <w:sz w:val="24"/>
          <w:szCs w:val="24"/>
        </w:rPr>
      </w:pPr>
      <w:hyperlink r:id="rId12" w:history="1">
        <w:r w:rsidRPr="2030048C">
          <w:rPr>
            <w:rFonts w:ascii="Arial" w:eastAsia="Arial" w:hAnsi="Arial" w:cs="Arial"/>
            <w:sz w:val="24"/>
            <w:szCs w:val="24"/>
          </w:rPr>
          <w:t>QAA Subject benchmarks</w:t>
        </w:r>
      </w:hyperlink>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20"/>
        <w:gridCol w:w="214"/>
        <w:gridCol w:w="563"/>
        <w:gridCol w:w="563"/>
        <w:gridCol w:w="563"/>
        <w:gridCol w:w="562"/>
        <w:gridCol w:w="1"/>
        <w:gridCol w:w="563"/>
        <w:gridCol w:w="563"/>
        <w:gridCol w:w="563"/>
        <w:gridCol w:w="485"/>
        <w:gridCol w:w="561"/>
        <w:gridCol w:w="2"/>
        <w:gridCol w:w="563"/>
        <w:gridCol w:w="563"/>
        <w:gridCol w:w="563"/>
        <w:gridCol w:w="563"/>
        <w:gridCol w:w="535"/>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GG4012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GG4011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GG4009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CI5999</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GG6029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GG6070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GG6400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intakes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MsoBodyText">
    <w:name w:val="MsoBody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qaa.ac.uk/the-quality-code/subject-benchmark-statements/geography" TargetMode="Externa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rgs.org/" TargetMode="External"/><Relationship Id="rId6" Type="http://schemas.openxmlformats.org/officeDocument/2006/relationships/customXml" Target="../customXml/item3.xml"/><Relationship Id="rId15" Type="http://schemas.openxmlformats.org/officeDocument/2006/relationships/styles" Target="styles.xml"/><Relationship Id="rId10" Type="http://schemas.openxmlformats.org/officeDocument/2006/relationships/footer" Target="footer1.xml"/><Relationship Id="rId14" Type="http://schemas.openxmlformats.org/officeDocument/2006/relationships/numbering" Target="numbering.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E091EF3-2442-4144-BB5A-37EE2E55F0A3}"/>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