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Games Development top up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28/07/2025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6</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Networks and Digital Media</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Polytechnics Mauritius Limited (PML)</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Games Development top up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 xml:space="preserve"> BSc Game Development</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UFGDV1GDV10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Polytechnics Mauritius Limited (PML)</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Polytechnics Mauritius Limited (PML)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ind w:left="5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must meet one of the following entry qualification requirements:</w:t>
            </w:r>
          </w:p>
          <w:p w:rsidRPr="2030048C" w:rsidP="2030048C">
            <w:pPr>
              <w:ind w:left="5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Diploma in Game Development –</w:t>
            </w:r>
            <w:r w:rsidRPr="2030048C">
              <w:rPr>
                <w:rStyle w:val="normaltextrun"/>
                <w:rFonts w:ascii="Arial" w:eastAsia="Arial" w:hAnsi="Arial" w:cs="Arial"/>
                <w:b w:val="0"/>
                <w:bCs w:val="0"/>
                <w:color w:val="000000"/>
                <w:sz w:val="22"/>
                <w:szCs w:val="22"/>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Polytechnics Mauritius</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Case by case consideration of equivalent academic and professional qualifications achieved at comparable levels</w:t>
            </w:r>
          </w:p>
          <w:p w:rsidRPr="2030048C" w:rsidP="2030048C">
            <w:pPr>
              <w:ind w:left="5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 minimum overall IELTS score of 6.0 with a minimum of 5.5 each element, iBT TOEFL 80 with R at 20, L at 19, S at 21 and W at 20 or equivalent is required for those for whom English is not their first language.  A minimum of a Credit pass at the G.C.E O/L English Language exam will also be considered as equivalent to this level.</w:t>
            </w:r>
          </w:p>
          <w:p w:rsidRPr="2030048C" w:rsidP="2030048C">
            <w:pPr>
              <w:ind w:left="5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We will consider a range of alternative qualifications or experience that is equivalent to the typical offer. Applications from international </w:t>
            </w:r>
            <w:r w:rsidRPr="2030048C">
              <w:rPr>
                <w:rStyle w:val="normaltextrun"/>
                <w:rFonts w:ascii="Arial" w:eastAsia="Arial" w:hAnsi="Arial" w:cs="Arial"/>
                <w:b w:val="0"/>
                <w:bCs w:val="0"/>
                <w:color w:val="000000"/>
                <w:sz w:val="24"/>
                <w:szCs w:val="24"/>
                <w:shd w:val="clear" w:color="auto" w:fill="FFFFFF"/>
              </w:rPr>
              <w:t>students with equivalent qualifications are welcome. </w:t>
            </w:r>
            <w:r w:rsidRPr="2030048C">
              <w:rPr>
                <w:rStyle w:val="normaltextrun"/>
                <w:rFonts w:ascii="Arial" w:eastAsia="Arial" w:hAnsi="Arial" w:cs="Arial"/>
                <w:b w:val="0"/>
                <w:bCs w:val="0"/>
                <w:color w:val="000000"/>
                <w:sz w:val="24"/>
                <w:szCs w:val="24"/>
                <w:shd w:val="clear" w:color="auto" w:fill="FFFFFF"/>
              </w:rPr>
              <w:t>All applications  will  be  subject  to  the  Kingston  University  Accreditation  of  Prior </w:t>
            </w:r>
            <w:r w:rsidRPr="2030048C">
              <w:rPr>
                <w:rStyle w:val="normaltextrun"/>
                <w:rFonts w:ascii="Arial" w:eastAsia="Arial" w:hAnsi="Arial" w:cs="Arial"/>
                <w:b w:val="0"/>
                <w:bCs w:val="0"/>
                <w:color w:val="000000"/>
                <w:sz w:val="24"/>
                <w:szCs w:val="24"/>
                <w:shd w:val="clear" w:color="auto" w:fill="FFFFFF"/>
              </w:rPr>
              <w:t>Learning (APL) rules and regulations applicable at the time of application.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u w:val="single"/>
              </w:rPr>
              <w:t>Compensation of modules:</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 xml:space="preserve">Compensation is permitted in at most 30 credits across the programme, excluding the CI6600 </w:t>
            </w:r>
            <w:r w:rsidRPr="158602C4">
              <w:rPr>
                <w:rStyle w:val="normaltextrun"/>
                <w:rFonts w:ascii="Arial" w:eastAsia="Arial" w:hAnsi="Arial" w:cs="Arial"/>
                <w:b w:val="0"/>
                <w:bCs w:val="0"/>
                <w:i/>
                <w:iCs/>
                <w:color w:val="000000" w:themeColor="text1" w:themeShade="FF" w:themeTint="FF"/>
                <w:sz w:val="22"/>
                <w:szCs w:val="22"/>
              </w:rPr>
              <w:t xml:space="preserve">Individual Project </w:t>
            </w:r>
            <w:r w:rsidRPr="158602C4">
              <w:rPr>
                <w:rStyle w:val="normaltextrun"/>
                <w:rFonts w:ascii="Arial" w:eastAsia="Arial" w:hAnsi="Arial" w:cs="Arial"/>
                <w:b w:val="0"/>
                <w:bCs w:val="0"/>
                <w:color w:val="000000" w:themeColor="text1" w:themeShade="FF" w:themeTint="FF"/>
                <w:sz w:val="22"/>
                <w:szCs w:val="22"/>
              </w:rPr>
              <w:t>module. A module, other than CI6600, with a grade of F5 (marks of 35-39) can be compensated for a PC grade by at least 90 credits passed at that level.</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over-arching aim of the course is to produce highly trained graduates to support the development of the digital society with a focus on the games industry.</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Specifically the aims are to produce graduates who:</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have the required knowledge, skills and attitudes to practice as computing professionals in both the games industry and the computing industry more generally</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are equipped to meet the academic, professional and practical requirements for membership of appropriate professional bodies such as the British Computer Society </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are aware of the actual and potential range of information and computer-based systems and of the ways in which these interact with their material, human, organizational and social environments</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possess the appropriate ability and inclination, and are equipped, to undertake advanced studies and/or research and development in the computing discipline particularly in relation to computer game development</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can apply their knowledge and skills to computer game development and also the various contexts in which information and computer-based systems are developed.  In particular, can both initiate and sustain a planned and disciplined personal effort when working alone and can participate effectively as a member of a team</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role of computers and information technology systems, for the generation, storage and transmission of images, sound and data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report on their work critically in written format, at meetings, or by formal oral presentation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with colleagues in specifying system objectives, implementing solutions using appropriate software and evaluating the results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technologies used in the games and media industries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assemble, interpret and critically evaluate information from a variety of sources (including academic literature) including where information is missing or unclear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project management controls and communication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games development process including 2D and 3D graphics and animation, artificial intelligence techniques, programming and games design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approach work in games and media through acquiring an understanding of, and intellectual flexibility towards, a range of disciplines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present and document information at a level which is appropriate to the computing knowledge of the recipient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mathematics and physics concepts required for the development of computer games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issues which arise in the development of computer games with regard to legal, social and ethical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appropriate skills and technologies for the development of computer games and related media work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computing skills necessary for the production of computer games including programming, object oriented concepts, data structures and abstract data types, software testing and HCI</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 knowledge and theory of mathematics, physics and computing to computer games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and execute creative development tasks relevant to an application of games and media technology and computing generally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assess and select the tools and methods appropriate for a given games-related problem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general skills for critical analysis and problem solving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Games Development top up</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Games Development top up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 PML</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Game and Media Production and Generative AI Prototyping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Individual Project (Games)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CI6500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Multiplayer and Game Console Programming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CI6515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Digital Entrepreneurship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CI6415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Mobile Application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CI6330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Modelling and Animation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capstone project is a mandatory part of the programme. It offers students the opportunity to integrate their cumulative academic studies and practical skills with a single project, which may be for a real client. Students are provided with opportunities to engage with the project earlier on in their programme before the start of the project to ensure that they are adequately prepared to undertake this in their final year.</w:t>
      </w:r>
    </w:p>
    <w:p w:rsidRPr="2030048C" w:rsidP="2030048C">
      <w:pPr>
        <w:jc w:val="both"/>
        <w:rPr>
          <w:rFonts w:ascii="Arial" w:eastAsia="Arial" w:hAnsi="Arial" w:cs="Arial"/>
          <w:sz w:val="24"/>
          <w:szCs w:val="24"/>
        </w:rPr>
      </w:pPr>
      <w:r w:rsidRPr="2030048C">
        <w:rPr>
          <w:rFonts w:ascii="Arial" w:eastAsia="Arial" w:hAnsi="Arial" w:cs="Arial"/>
          <w:sz w:val="24"/>
          <w:szCs w:val="24"/>
        </w:rPr>
        <w:t>Learning game programming is often most effective when applied to solving real-world problems. This is reflected in the approach adopted throughout this programme which is problem-centred wherever appropriate. The strategy is to start with a relevant problem then to move forward from there to explore the theory and techniques necessary to investigate that problem. The ‘top down’ approach provides more motivation for students to engage with material/concepts and opportunities for relatable (concrete), inclusive example problems to be used. Students frequently work in groups to tackle these problems both in timetabled sessions and outside, thereby creating a learning community in which the students collaborate with each other and staff. As the students work together in groups, both formatively and summatively, this community supports them automatically allowing for different learning styles and varied backgrounds.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p"/>
        <w:jc w:val="both"/>
        <w:rPr>
          <w:rFonts w:ascii="Arial" w:eastAsia="Arial" w:hAnsi="Arial" w:cs="Arial"/>
          <w:sz w:val="24"/>
          <w:szCs w:val="24"/>
        </w:rPr>
      </w:pPr>
      <w:r w:rsidRPr="2030048C">
        <w:rPr>
          <w:rFonts w:ascii="Arial" w:eastAsia="Arial" w:hAnsi="Arial" w:cs="Arial"/>
          <w:b/>
          <w:bCs/>
          <w:sz w:val="24"/>
          <w:szCs w:val="24"/>
        </w:rPr>
        <w:t>Assessment and Feedback</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 xml:space="preserve">The assessment is regarded as an integral part of our learning and teaching strategy, and incorporates both assessments of and for learning. Ample opportunities are given to students for formative assessment with rapid feedback. </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Heading3"/>
        <w:ind w:left="570"/>
        <w:jc w:val="both"/>
        <w:outlineLvl w:val="2"/>
        <w:rPr>
          <w:rFonts w:ascii="Arial" w:eastAsia="Arial" w:hAnsi="Arial" w:cs="Arial"/>
          <w:sz w:val="24"/>
          <w:szCs w:val="24"/>
        </w:rPr>
      </w:pPr>
      <w:r w:rsidRPr="2030048C">
        <w:rPr>
          <w:rFonts w:ascii="Arial" w:eastAsia="Arial" w:hAnsi="Arial" w:cs="Arial"/>
          <w:b/>
          <w:bCs/>
          <w:color w:val="1F4D78"/>
          <w:sz w:val="24"/>
          <w:szCs w:val="24"/>
        </w:rPr>
        <w:t>Inclusive Teaching Practice</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 xml:space="preserve">The teaching practice is guided by the AHE’s (Advance HE) principles for effective practice across subject areas, alongside Kingston University’s Inclusive Curriculum framework. In particular, a collaborative approach which creates a partnership between staff, students, employers and other stakeholders. Opportunities to ensure that the curriculum is inclusive take place at such forums as the Student Voice Committees and School Education Committee meetings, together with discussions at module and course level. Meetings take place between subject teams to consider subject specific issues. The variety of teaching activities also takes account of the students’ different learning preferences and experiences and there is a careful balance of individual and group based activities. </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Resources are provided on the KU EDI website.</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Feedback, in a variety of formats provides students with guidance in developing skills which are both beneficial for future assessments and highly valued by employers. Feedback in the Professional Environment modules involves the Personal Tutors as a conduit through which feedback is given.</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 xml:space="preserve">In the final year every student undertakes a 30 credit capstone Individual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artefact. </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In the programme as a whole, the following components are used in the assessment of the various modules:</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ListParagraph0"/>
        <w:ind w:left="420"/>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2"/>
          <w:szCs w:val="22"/>
        </w:rPr>
        <w:t xml:space="preserve">      </w:t>
      </w:r>
      <w:r w:rsidRPr="2030048C">
        <w:rPr>
          <w:rFonts w:ascii="Arial" w:eastAsia="Arial" w:hAnsi="Arial" w:cs="Arial"/>
          <w:sz w:val="24"/>
          <w:szCs w:val="24"/>
        </w:rPr>
        <w:t>Practical exercises: to assess students’ understanding and technical competence</w:t>
      </w:r>
    </w:p>
    <w:p w:rsidRPr="2030048C" w:rsidP="2030048C">
      <w:pPr>
        <w:pStyle w:val="ListParagraph0"/>
        <w:ind w:left="420"/>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2"/>
          <w:szCs w:val="22"/>
        </w:rPr>
        <w:t xml:space="preserve">      </w:t>
      </w:r>
      <w:r w:rsidRPr="2030048C">
        <w:rPr>
          <w:rFonts w:ascii="Arial" w:eastAsia="Arial" w:hAnsi="Arial" w:cs="Arial"/>
          <w:sz w:val="24"/>
          <w:szCs w:val="24"/>
        </w:rPr>
        <w:t>Individual and group-based case studies: to assess ability to understand requirements, to provide solutions to realistic problems and to interact and work effectively with others as a contributing member of a team. The outcomes can be:</w:t>
      </w:r>
    </w:p>
    <w:p w:rsidRPr="2030048C" w:rsidP="2030048C">
      <w:pPr>
        <w:pStyle w:val="ListParagraph0"/>
        <w:ind w:left="705"/>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2"/>
          <w:szCs w:val="22"/>
        </w:rPr>
        <w:t xml:space="preserve">      </w:t>
      </w:r>
      <w:r w:rsidRPr="2030048C">
        <w:rPr>
          <w:rFonts w:ascii="Arial" w:eastAsia="Arial" w:hAnsi="Arial" w:cs="Arial"/>
          <w:sz w:val="24"/>
          <w:szCs w:val="24"/>
        </w:rPr>
        <w:t>Written report, where the ability to communicate the relevant concepts, methods, results and conclusions effectively will be assessed.</w:t>
      </w:r>
    </w:p>
    <w:p w:rsidRPr="2030048C" w:rsidP="2030048C">
      <w:pPr>
        <w:pStyle w:val="ListParagraph0"/>
        <w:ind w:left="705"/>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2"/>
          <w:szCs w:val="22"/>
        </w:rPr>
        <w:t xml:space="preserve">      </w:t>
      </w:r>
      <w:r w:rsidRPr="2030048C">
        <w:rPr>
          <w:rFonts w:ascii="Arial" w:eastAsia="Arial" w:hAnsi="Arial" w:cs="Arial"/>
          <w:sz w:val="24"/>
          <w:szCs w:val="24"/>
        </w:rPr>
        <w:t>Oral presentation, where the ability to summarise accurately and communicate clearly the key points from the work in a brief presentation will be assessed.</w:t>
      </w:r>
    </w:p>
    <w:p w:rsidRPr="2030048C" w:rsidP="2030048C">
      <w:pPr>
        <w:pStyle w:val="ListParagraph0"/>
        <w:ind w:left="705"/>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2"/>
          <w:szCs w:val="22"/>
        </w:rPr>
        <w:t xml:space="preserve">      </w:t>
      </w:r>
      <w:r w:rsidRPr="2030048C">
        <w:rPr>
          <w:rFonts w:ascii="Arial" w:eastAsia="Arial" w:hAnsi="Arial" w:cs="Arial"/>
          <w:sz w:val="24"/>
          <w:szCs w:val="24"/>
        </w:rPr>
        <w:t>Poster presentation where information and results must be succinct and eye-catching.</w:t>
      </w:r>
    </w:p>
    <w:p w:rsidRPr="2030048C" w:rsidP="2030048C">
      <w:pPr>
        <w:pStyle w:val="ListParagraph0"/>
        <w:ind w:left="705"/>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2"/>
          <w:szCs w:val="22"/>
        </w:rPr>
        <w:t xml:space="preserve">      </w:t>
      </w:r>
      <w:r w:rsidRPr="2030048C">
        <w:rPr>
          <w:rFonts w:ascii="Arial" w:eastAsia="Arial" w:hAnsi="Arial" w:cs="Arial"/>
          <w:sz w:val="24"/>
          <w:szCs w:val="24"/>
        </w:rPr>
        <w:t>Video, which may replicate features of oral presentations but allows advance preparation away from the audience (which may suit some students better).</w:t>
      </w:r>
    </w:p>
    <w:p w:rsidRPr="2030048C" w:rsidP="2030048C">
      <w:pPr>
        <w:pStyle w:val="ListParagraph0"/>
        <w:ind w:left="705"/>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2"/>
          <w:szCs w:val="22"/>
        </w:rPr>
        <w:t xml:space="preserve">      </w:t>
      </w:r>
      <w:r w:rsidRPr="2030048C">
        <w:rPr>
          <w:rFonts w:ascii="Arial" w:eastAsia="Arial" w:hAnsi="Arial" w:cs="Arial"/>
          <w:sz w:val="24"/>
          <w:szCs w:val="24"/>
        </w:rPr>
        <w:t>Article emphasising the ability to communicate with different audiences.</w:t>
      </w:r>
    </w:p>
    <w:p w:rsidRPr="2030048C" w:rsidP="2030048C">
      <w:pPr>
        <w:pStyle w:val="ListParagraph0"/>
        <w:ind w:left="705"/>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2"/>
          <w:szCs w:val="22"/>
        </w:rPr>
        <w:t xml:space="preserve">      </w:t>
      </w:r>
      <w:r w:rsidRPr="2030048C">
        <w:rPr>
          <w:rFonts w:ascii="Arial" w:eastAsia="Arial" w:hAnsi="Arial" w:cs="Arial"/>
          <w:sz w:val="24"/>
          <w:szCs w:val="24"/>
        </w:rPr>
        <w:t>Interview emphasising the ability to answer questions appropriately and relevantly.</w:t>
      </w:r>
    </w:p>
    <w:p w:rsidRPr="2030048C" w:rsidP="2030048C">
      <w:pPr>
        <w:pStyle w:val="ListParagraph0"/>
        <w:ind w:left="705"/>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2"/>
          <w:szCs w:val="22"/>
        </w:rPr>
        <w:t xml:space="preserve">      </w:t>
      </w:r>
      <w:r w:rsidRPr="2030048C">
        <w:rPr>
          <w:rFonts w:ascii="Arial" w:eastAsia="Arial" w:hAnsi="Arial" w:cs="Arial"/>
          <w:sz w:val="24"/>
          <w:szCs w:val="24"/>
        </w:rPr>
        <w:t>Simulated client interactions: letters, quotations, etc.</w:t>
      </w:r>
    </w:p>
    <w:p w:rsidRPr="2030048C" w:rsidP="2030048C">
      <w:pPr>
        <w:pStyle w:val="ListParagraph0"/>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ListParagraph0"/>
        <w:ind w:left="420"/>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2"/>
          <w:szCs w:val="22"/>
        </w:rPr>
        <w:t xml:space="preserve">    </w:t>
      </w:r>
      <w:r w:rsidRPr="2030048C">
        <w:rPr>
          <w:rFonts w:ascii="Arial" w:eastAsia="Arial" w:hAnsi="Arial" w:cs="Arial"/>
          <w:sz w:val="24"/>
          <w:szCs w:val="24"/>
        </w:rPr>
        <w:t>Multiple choice or short answer questions: to assess competence in basic techniques and understanding of concepts.</w:t>
      </w:r>
    </w:p>
    <w:p w:rsidRPr="2030048C" w:rsidP="2030048C">
      <w:pPr>
        <w:pStyle w:val="ListParagraph0"/>
        <w:ind w:left="420"/>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2"/>
          <w:szCs w:val="22"/>
        </w:rPr>
        <w:t xml:space="preserve">    </w:t>
      </w:r>
      <w:r w:rsidRPr="2030048C">
        <w:rPr>
          <w:rFonts w:ascii="Arial" w:eastAsia="Arial" w:hAnsi="Arial" w:cs="Arial"/>
          <w:sz w:val="24"/>
          <w:szCs w:val="24"/>
        </w:rPr>
        <w:t>Long answer structured questions in coursework assignments: to assess ability to apply learned techniques to solve simple to medium problems and which may include a limited investigative component</w:t>
      </w:r>
    </w:p>
    <w:p w:rsidRPr="2030048C" w:rsidP="2030048C">
      <w:pPr>
        <w:pStyle w:val="ListParagraph0"/>
        <w:ind w:left="420"/>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2"/>
          <w:szCs w:val="22"/>
        </w:rPr>
        <w:t xml:space="preserve">       </w:t>
      </w:r>
      <w:r w:rsidRPr="2030048C">
        <w:rPr>
          <w:rFonts w:ascii="Arial" w:eastAsia="Arial" w:hAnsi="Arial" w:cs="Arial"/>
          <w:sz w:val="24"/>
          <w:szCs w:val="24"/>
        </w:rPr>
        <w:t>Long answer structured questions in end-of-module examinations: to assess overall breadth of knowledge and technical competence to provide concise and accurate solutions within restricted time</w:t>
      </w:r>
    </w:p>
    <w:p w:rsidRPr="2030048C" w:rsidP="2030048C">
      <w:pPr>
        <w:pStyle w:val="ListParagraph0"/>
        <w:ind w:left="420"/>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2"/>
          <w:szCs w:val="22"/>
        </w:rPr>
        <w:t xml:space="preserve">       </w:t>
      </w:r>
      <w:r w:rsidRPr="2030048C">
        <w:rPr>
          <w:rFonts w:ascii="Arial" w:eastAsia="Arial" w:hAnsi="Arial" w:cs="Arial"/>
          <w:sz w:val="24"/>
          <w:szCs w:val="24"/>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rsidRPr="2030048C" w:rsidP="2030048C">
      <w:pPr>
        <w:jc w:val="both"/>
        <w:rPr>
          <w:rFonts w:ascii="Arial" w:eastAsia="Arial" w:hAnsi="Arial" w:cs="Arial"/>
          <w:sz w:val="24"/>
          <w:szCs w:val="24"/>
        </w:rPr>
      </w:pPr>
      <w:r w:rsidRPr="2030048C">
        <w:rPr>
          <w:rFonts w:ascii="Arial" w:eastAsia="Arial" w:hAnsi="Arial" w:cs="Arial"/>
          <w:sz w:val="24"/>
          <w:szCs w:val="24"/>
        </w:rPr>
        <w:t>Students are encouraged to develop as independent learners as they progress through their degree course. This is supported explicitly through, for example, the strand of professional skills modules culminating in the individual project in the final year.</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8"/>
        </w:numPr>
        <w:ind w:left="720" w:hanging="360"/>
        <w:jc w:val="left"/>
        <w:rPr>
          <w:rFonts w:ascii="Arial" w:eastAsia="Arial" w:hAnsi="Arial" w:cs="Arial"/>
          <w:sz w:val="24"/>
          <w:szCs w:val="24"/>
        </w:rPr>
      </w:pPr>
      <w:hyperlink r:id="rId12" w:history="1">
        <w:r w:rsidRPr="2030048C">
          <w:rPr>
            <w:rFonts w:ascii="Arial" w:eastAsia="Arial" w:hAnsi="Arial" w:cs="Arial"/>
            <w:sz w:val="24"/>
            <w:szCs w:val="24"/>
          </w:rPr>
          <w:t>PSRB standards</w:t>
        </w:r>
      </w:hyperlink>
    </w:p>
    <w:p w:rsidRPr="2030048C" w:rsidP="2030048C">
      <w:pPr>
        <w:numPr>
          <w:ilvl w:val="0"/>
          <w:numId w:val="18"/>
        </w:numPr>
        <w:ind w:left="720" w:hanging="360"/>
        <w:jc w:val="left"/>
        <w:rPr>
          <w:rFonts w:ascii="Arial" w:eastAsia="Arial" w:hAnsi="Arial" w:cs="Arial"/>
          <w:sz w:val="24"/>
          <w:szCs w:val="24"/>
        </w:rPr>
      </w:pPr>
      <w:hyperlink r:id="rId13" w:history="1">
        <w:r w:rsidRPr="2030048C">
          <w:rPr>
            <w:rFonts w:ascii="Arial" w:eastAsia="Arial" w:hAnsi="Arial" w:cs="Arial"/>
            <w:sz w:val="24"/>
            <w:szCs w:val="24"/>
          </w:rPr>
          <w:t>QAA Subject benchmarks</w:t>
        </w:r>
      </w:hyperlink>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835"/>
        <w:gridCol w:w="835"/>
        <w:gridCol w:w="835"/>
        <w:gridCol w:w="929"/>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CI6500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CI6515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Intakes are in September.</w:t>
      </w:r>
    </w:p>
    <w:p w:rsidRPr="2030048C" w:rsidP="2030048C">
      <w:pPr>
        <w:rPr>
          <w:rFonts w:ascii="Arial" w:eastAsia="Arial" w:hAnsi="Arial" w:cs="Arial"/>
          <w:sz w:val="24"/>
          <w:szCs w:val="24"/>
        </w:rPr>
      </w:pPr>
      <w:r w:rsidRPr="2030048C">
        <w:rPr>
          <w:rFonts w:ascii="Arial" w:eastAsia="Arial" w:hAnsi="Arial" w:cs="Arial"/>
          <w:sz w:val="24"/>
          <w:szCs w:val="24"/>
        </w:rPr>
        <w:t>This is Franchised provision.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0"/>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qaa.ac.uk/the-quality-code/subject-benchmark-statements/computing"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bcs.org/" TargetMode="External"/><Relationship Id="rId7" Type="http://schemas.openxmlformats.org/officeDocument/2006/relationships/customXml" Target="../customXml/item4.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5" Type="http://schemas.openxmlformats.org/officeDocument/2006/relationships/numbering" Target="numbering.xm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4F6B3181-FAF0-4F83-8E4E-6F7A93A1E0AD}"/>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