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Games Development top 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28/07/2025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Networks and Digital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Polytechnics Mauritius Limited (PML)</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Games Development top 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 xml:space="preserve"> BSc Game Development</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UFGDV1GDV10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Polytechnics Mauritius Limited (PML)</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Polytechnics Mauritius Limited (PML)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must meet one of the following entry qualification requirements:</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Diploma in Game Development –</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Polytechnics Mauritius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Case by case consideration of equivalent academic and professional qualifications achieved at comparable levels</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 minimum overall IELTS score of 6.0 with a minimum of 5.5 each element, iBT TOEFL 80 with R at 20, L at 19, S at 21 and W at 20 or equivalent is required for those for whom English is not their first language.  A minimum of a Credit pass at the G.C.E O/L English Language exam will also be considered as equivalent to this level.</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We will consider a range of alternative qualifications or experience that is equivalent to the typical offer. Applications from international </w:t>
            </w:r>
            <w:r w:rsidRPr="2030048C">
              <w:rPr>
                <w:rStyle w:val="normaltextrun"/>
                <w:rFonts w:ascii="Arial" w:eastAsia="Arial" w:hAnsi="Arial" w:cs="Arial"/>
                <w:b w:val="0"/>
                <w:bCs w:val="0"/>
                <w:color w:val="000000"/>
                <w:sz w:val="24"/>
                <w:szCs w:val="24"/>
                <w:shd w:val="clear" w:color="auto" w:fill="FFFFFF"/>
              </w:rPr>
              <w:t>students with equivalent qualifications are welcome. </w:t>
            </w:r>
            <w:r w:rsidRPr="2030048C">
              <w:rPr>
                <w:rStyle w:val="normaltextrun"/>
                <w:rFonts w:ascii="Arial" w:eastAsia="Arial" w:hAnsi="Arial" w:cs="Arial"/>
                <w:b w:val="0"/>
                <w:bCs w:val="0"/>
                <w:color w:val="000000"/>
                <w:sz w:val="24"/>
                <w:szCs w:val="24"/>
                <w:shd w:val="clear" w:color="auto" w:fill="FFFFFF"/>
              </w:rPr>
              <w:t>All applications  will  be  subject  to  the  Kingston  University  Accreditation  of  Prior </w:t>
            </w:r>
            <w:r w:rsidRPr="2030048C">
              <w:rPr>
                <w:rStyle w:val="normaltextrun"/>
                <w:rFonts w:ascii="Arial" w:eastAsia="Arial" w:hAnsi="Arial" w:cs="Arial"/>
                <w:b w:val="0"/>
                <w:bCs w:val="0"/>
                <w:color w:val="000000"/>
                <w:sz w:val="24"/>
                <w:szCs w:val="24"/>
                <w:shd w:val="clear" w:color="auto" w:fill="FFFFFF"/>
              </w:rPr>
              <w:t>Learning (APL) rules and regulations applicable at the time of application.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u w:val="single"/>
              </w:rPr>
              <w:t>Compensation of modules: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 xml:space="preserve">Compensation is permitted in at most 30 credits across the programme, excluding the CI6600 </w:t>
            </w:r>
            <w:r w:rsidRPr="158602C4">
              <w:rPr>
                <w:rStyle w:val="normaltextrun"/>
                <w:rFonts w:ascii="Arial" w:eastAsia="Arial" w:hAnsi="Arial" w:cs="Arial"/>
                <w:b w:val="0"/>
                <w:bCs w:val="0"/>
                <w:i/>
                <w:iCs/>
                <w:color w:val="000000" w:themeColor="text1" w:themeShade="FF" w:themeTint="FF"/>
                <w:sz w:val="22"/>
                <w:szCs w:val="22"/>
              </w:rPr>
              <w:t xml:space="preserve">Individual Project </w:t>
            </w:r>
            <w:r w:rsidRPr="158602C4">
              <w:rPr>
                <w:rStyle w:val="normaltextrun"/>
                <w:rFonts w:ascii="Arial" w:eastAsia="Arial" w:hAnsi="Arial" w:cs="Arial"/>
                <w:b w:val="0"/>
                <w:bCs w:val="0"/>
                <w:color w:val="000000" w:themeColor="text1" w:themeShade="FF" w:themeTint="FF"/>
                <w:sz w:val="22"/>
                <w:szCs w:val="22"/>
              </w:rPr>
              <w:t>module. A module, other than CI6600, with a grade of F5 (marks of 35-39) can be compensated for a PC grade by at least 90 credits passed at that level.</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over-arching aim of the course is to produce highly trained graduates to support the development of the digital society with a focus on the games industry.</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Specifically the aims are to produce graduates who:</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the required knowledge, skills and attitudes to practice as computing professionals in both the games industry and the computing industry more generally</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are equipped to meet the academic, professional and practical requirements for membership of appropriate professional bodies such as the British Computer Society </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are aware of the actual and potential range of information and computer-based systems and of the ways in which these interact with their material, human, organizational and social environments</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possess the appropriate ability and inclination, and are equipped, to undertake advanced studies and/or research and development in the computing discipline particularly in relation to computer game development</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can apply their knowledge and skills to computer game development and also the various contexts in which information and computer-based systems are developed.  In particular, can both initiate and sustain a planned and disciplined personal effort when working alone and can participate effectively as a member of a team</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role of computers and information technology systems, for the generation, storage and transmission of images, sound and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report on their work critically in written format, at meetings, or by formal oral presentation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with colleagues in specifying system objectives, implementing solutions using appropriate software and evaluating the results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technologies used in the games and media industries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interpret and critically evaluate information from a variety of sources (including academic literature) including where information is missing or unclear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project management controls and communication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games development process including 2D and 3D graphics and animation, artificial intelligence techniques, programming and games design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approach work in games and media through acquiring an understanding of, and intellectual flexibility towards, a range of disciplines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and document information at a level which is appropriate to the computing knowledge of the recipient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mathematics and physics concepts required for the development of computer games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issues which arise in the development of computer games with regard to legal, social and ethical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appropriate skills and technologies for the development of computer games and related media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computing skills necessary for the production of computer games including programming, object oriented concepts, data structures and abstract data types, software testing and HCI</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knowledge and theory of mathematics, physics and computing to computer games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and execute creative development tasks relevant to an application of games and media technology and computing generally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assess and select the tools and methods appropriate for a given games-related problem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general skills for critical analysis and problem solving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Games Development top 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Games Development top 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 PML</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Game and Media Production and Generative AI Prototyping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Project (Games)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CI6500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Multiplayer and Game Console Programming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CI6515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CI6415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Mobile Application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Modelling and Animation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capstone project is a mandatory part of the programme.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w:t>
      </w:r>
    </w:p>
    <w:p w:rsidRPr="2030048C" w:rsidP="2030048C">
      <w:pPr>
        <w:jc w:val="both"/>
        <w:rPr>
          <w:rFonts w:ascii="Arial" w:eastAsia="Arial" w:hAnsi="Arial" w:cs="Arial"/>
          <w:sz w:val="24"/>
          <w:szCs w:val="24"/>
        </w:rPr>
      </w:pPr>
      <w:r w:rsidRPr="2030048C">
        <w:rPr>
          <w:rFonts w:ascii="Arial" w:eastAsia="Arial" w:hAnsi="Arial" w:cs="Arial"/>
          <w:sz w:val="24"/>
          <w:szCs w:val="24"/>
        </w:rPr>
        <w:t>Learning game programming is often most effective when applied to solving real-world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 this community supports them automatically allowing for different learning styles and varied backgrounds.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b/>
          <w:bCs/>
          <w:sz w:val="24"/>
          <w:szCs w:val="24"/>
        </w:rPr>
        <w:t>Assessment and Feedback</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xml:space="preserve">The assessment is regarded as an integral part of our learning and teaching strategy, and incorporates both assessments of and for learning. Ample opportunities are given to students for formative assessment with rapid feedback.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3"/>
        <w:ind w:left="570"/>
        <w:jc w:val="both"/>
        <w:outlineLvl w:val="2"/>
        <w:rPr>
          <w:rFonts w:ascii="Arial" w:eastAsia="Arial" w:hAnsi="Arial" w:cs="Arial"/>
          <w:sz w:val="24"/>
          <w:szCs w:val="24"/>
        </w:rPr>
      </w:pPr>
      <w:r w:rsidRPr="2030048C">
        <w:rPr>
          <w:rFonts w:ascii="Arial" w:eastAsia="Arial" w:hAnsi="Arial" w:cs="Arial"/>
          <w:b/>
          <w:bCs/>
          <w:color w:val="1F4D78"/>
          <w:sz w:val="24"/>
          <w:szCs w:val="24"/>
        </w:rPr>
        <w:t>Inclusive Teaching Practice</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xml:space="preserve">The teaching practice is guided by the AHE’s (Advance HE) principles for effective practice across subject areas, alongside Kingston University’s Inclusive Curriculum framework. In particular, a collaborative approach which creates a partnership between staff, students, employers and other stakeholders. Opportunities to ensure that the curriculum is inclusive take place at such forums as the Student Voice Committees and School Education Committee meetings, together with discussions at module and course level. Meetings take place between subject teams to consider subject specific issues. The variety of teaching activities also takes account of the students’ different learning preferences and experiences and there is a careful balance of individual and group based activities.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Resources are provided on the KU EDI website.</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In the programme as a whole, the following components are used in the assessment of the various modules:</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ListParagraph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Practical exercises: to assess students’ understanding and technical competence</w:t>
      </w:r>
    </w:p>
    <w:p w:rsidRPr="2030048C" w:rsidP="2030048C">
      <w:pPr>
        <w:pStyle w:val="ListParagraph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Individual and group-based case studies: to assess ability to understand requirements, to provide solutions to realistic problems and to interact and work effectively with others as a contributing member of a team. The outcomes can be:</w:t>
      </w:r>
    </w:p>
    <w:p w:rsidRPr="2030048C" w:rsidP="2030048C">
      <w:pPr>
        <w:pStyle w:val="ListParagraph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Written report, where the ability to communicate the relevant concepts, methods, results and conclusions effectively will be assessed.</w:t>
      </w:r>
    </w:p>
    <w:p w:rsidRPr="2030048C" w:rsidP="2030048C">
      <w:pPr>
        <w:pStyle w:val="ListParagraph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Oral presentation, where the ability to summarise accurately and communicate clearly the key points from the work in a brief presentation will be assessed.</w:t>
      </w:r>
    </w:p>
    <w:p w:rsidRPr="2030048C" w:rsidP="2030048C">
      <w:pPr>
        <w:pStyle w:val="ListParagraph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Poster presentation where information and results must be succinct and eye-catching.</w:t>
      </w:r>
    </w:p>
    <w:p w:rsidRPr="2030048C" w:rsidP="2030048C">
      <w:pPr>
        <w:pStyle w:val="ListParagraph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Video, which may replicate features of oral presentations but allows advance preparation away from the audience (which may suit some students better).</w:t>
      </w:r>
    </w:p>
    <w:p w:rsidRPr="2030048C" w:rsidP="2030048C">
      <w:pPr>
        <w:pStyle w:val="ListParagraph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Article emphasising the ability to communicate with different audiences.</w:t>
      </w:r>
    </w:p>
    <w:p w:rsidRPr="2030048C" w:rsidP="2030048C">
      <w:pPr>
        <w:pStyle w:val="ListParagraph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Interview emphasising the ability to answer questions appropriately and relevantly.</w:t>
      </w:r>
    </w:p>
    <w:p w:rsidRPr="2030048C" w:rsidP="2030048C">
      <w:pPr>
        <w:pStyle w:val="ListParagraph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Simulated client interactions: letters, quotations, etc.</w:t>
      </w:r>
    </w:p>
    <w:p w:rsidRPr="2030048C" w:rsidP="2030048C">
      <w:pPr>
        <w:pStyle w:val="ListParagraph0"/>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ListParagraph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Multiple choice or short answer questions: to assess competence in basic techniques and understanding of concepts.</w:t>
      </w:r>
    </w:p>
    <w:p w:rsidRPr="2030048C" w:rsidP="2030048C">
      <w:pPr>
        <w:pStyle w:val="ListParagraph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Long answer structured questions in coursework assignments: to assess ability to apply learned techniques to solve simple to medium problems and which may include a limited investigative component</w:t>
      </w:r>
    </w:p>
    <w:p w:rsidRPr="2030048C" w:rsidP="2030048C">
      <w:pPr>
        <w:pStyle w:val="ListParagraph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Long answer structured questions in end-of-module examinations: to assess overall breadth of knowledge and technical competence to provide concise and accurate solutions within restricted time</w:t>
      </w:r>
    </w:p>
    <w:p w:rsidRPr="2030048C" w:rsidP="2030048C">
      <w:pPr>
        <w:pStyle w:val="ListParagraph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rsidRPr="2030048C" w:rsidP="2030048C">
      <w:pPr>
        <w:jc w:val="both"/>
        <w:rPr>
          <w:rFonts w:ascii="Arial" w:eastAsia="Arial" w:hAnsi="Arial" w:cs="Arial"/>
          <w:sz w:val="24"/>
          <w:szCs w:val="24"/>
        </w:rPr>
      </w:pPr>
      <w:r w:rsidRPr="2030048C">
        <w:rPr>
          <w:rFonts w:ascii="Arial" w:eastAsia="Arial" w:hAnsi="Arial" w:cs="Arial"/>
          <w:sz w:val="24"/>
          <w:szCs w:val="24"/>
        </w:rPr>
        <w:t>Students are encouraged to develop as independent learners as they progress through their degree course. This is supported explicitly through, for example, the strand of professional skills modules culminating in the individual project in the final year.</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8"/>
        </w:numPr>
        <w:ind w:left="720" w:hanging="360"/>
        <w:jc w:val="left"/>
        <w:rPr>
          <w:rFonts w:ascii="Arial" w:eastAsia="Arial" w:hAnsi="Arial" w:cs="Arial"/>
          <w:sz w:val="24"/>
          <w:szCs w:val="24"/>
        </w:rPr>
      </w:pPr>
      <w:hyperlink r:id="rId12" w:history="1">
        <w:r w:rsidRPr="2030048C">
          <w:rPr>
            <w:rFonts w:ascii="Arial" w:eastAsia="Arial" w:hAnsi="Arial" w:cs="Arial"/>
            <w:sz w:val="24"/>
            <w:szCs w:val="24"/>
          </w:rPr>
          <w:t>PSRB standards</w:t>
        </w:r>
      </w:hyperlink>
    </w:p>
    <w:p w:rsidRPr="2030048C" w:rsidP="2030048C">
      <w:pPr>
        <w:numPr>
          <w:ilvl w:val="0"/>
          <w:numId w:val="18"/>
        </w:numPr>
        <w:ind w:left="720" w:hanging="360"/>
        <w:jc w:val="left"/>
        <w:rPr>
          <w:rFonts w:ascii="Arial" w:eastAsia="Arial" w:hAnsi="Arial" w:cs="Arial"/>
          <w:sz w:val="24"/>
          <w:szCs w:val="24"/>
        </w:rPr>
      </w:pPr>
      <w:hyperlink r:id="rId13" w:history="1">
        <w:r w:rsidRPr="2030048C">
          <w:rPr>
            <w:rFonts w:ascii="Arial" w:eastAsia="Arial" w:hAnsi="Arial" w:cs="Arial"/>
            <w:sz w:val="24"/>
            <w:szCs w:val="24"/>
          </w:rPr>
          <w:t>QAA Subject benchmarks</w:t>
        </w:r>
      </w:hyperlink>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835"/>
        <w:gridCol w:w="835"/>
        <w:gridCol w:w="835"/>
        <w:gridCol w:w="92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CI6500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CI6515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Intakes are in September.</w:t>
      </w:r>
    </w:p>
    <w:p w:rsidRPr="2030048C" w:rsidP="2030048C">
      <w:pPr>
        <w:rPr>
          <w:rFonts w:ascii="Arial" w:eastAsia="Arial" w:hAnsi="Arial" w:cs="Arial"/>
          <w:sz w:val="24"/>
          <w:szCs w:val="24"/>
        </w:rPr>
      </w:pPr>
      <w:r w:rsidRPr="2030048C">
        <w:rPr>
          <w:rFonts w:ascii="Arial" w:eastAsia="Arial" w:hAnsi="Arial" w:cs="Arial"/>
          <w:sz w:val="24"/>
          <w:szCs w:val="24"/>
        </w:rPr>
        <w:t>This is Franchised provision.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0"/>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aa.ac.uk/the-quality-code/subject-benchmark-statements/computing"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bcs.org/" TargetMode="Externa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F6B3181-FAF0-4F83-8E4E-6F7A93A1E0A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