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Game Development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30/06/2017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Game Development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Game Development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Game Development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Game Development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UFCGP1CGP20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G625 (3 year full time) G611 (4 year sandwich) G624 (4 year with 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Game Development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Game Development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Game Development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Game Development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UFCGP1CGP55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Game Development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Game Development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Game Development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Game Development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USCGP1CGP45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Game Development  with Foundation Year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Game Development  with Foundation Year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Game Development  with Foundation Year and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Game Development  with Foundation Year and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BCS: The Chartered Institute for IT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u w:val="single"/>
              </w:rPr>
              <w:t>Compensation of modules: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 xml:space="preserve">Compensation is permitted in at most 30 credits across the programme, excluding the CI6600 </w:t>
            </w:r>
            <w:r w:rsidRPr="158602C4">
              <w:rPr>
                <w:rStyle w:val="normaltextrun"/>
                <w:rFonts w:ascii="Arial" w:eastAsia="Arial" w:hAnsi="Arial" w:cs="Arial"/>
                <w:b w:val="0"/>
                <w:bCs w:val="0"/>
                <w:i/>
                <w:iCs/>
                <w:color w:val="000000" w:themeColor="text1" w:themeShade="FF" w:themeTint="FF"/>
                <w:sz w:val="22"/>
                <w:szCs w:val="22"/>
              </w:rPr>
              <w:t xml:space="preserve">Individual Project </w:t>
            </w:r>
            <w:r w:rsidRPr="158602C4">
              <w:rPr>
                <w:rStyle w:val="normaltextrun"/>
                <w:rFonts w:ascii="Arial" w:eastAsia="Arial" w:hAnsi="Arial" w:cs="Arial"/>
                <w:b w:val="0"/>
                <w:bCs w:val="0"/>
                <w:color w:val="000000" w:themeColor="text1" w:themeShade="FF" w:themeTint="FF"/>
                <w:sz w:val="22"/>
                <w:szCs w:val="22"/>
              </w:rPr>
              <w:t>module. A module, other than CI6600, with a grade of F5 (marks of 35-39) can be compensated for a PC grade by at least 90 credits passed at that level.</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course is to produce highly trained graduates to support the development of the digital society with a focus on the games industry.  As part of Kingston University’s Future Skills programme, this course also equips students with essential skills such as critical thinking, problem-solving, adaptability, and digital literacy. These future-focused skills ensure graduates are prepared for the evolving demands of the tech industry and can thrive in a rapidly changing professional landscape Specifically the aims are to produce graduates who:</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role of computers and information technology systems, for the generation, storage and transmission of images, sound and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report on their work critically in written format, at meetings, or by formal oral presentation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with colleagues in specifying system objectives, implementing solutions using appropriate software and evaluating the results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technologies used in the games and media industries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interpret and critically evaluate information from a variety of sources (including academic literature) including where information is missing or unclear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project management controls and communication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games development process including 2D and 3D graphics and animation, artificial intelligence techniques, programming and games design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approach work in games and media through acquiring an understanding of, and intellectual flexibility towards, a range of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document information at a level which is appropriate to the computing knowledge of the recipient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mathematics and physics concepts required for the development of computer games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issues which arise in the development of computer games with regard to legal, social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skills and technologies for the development of computer games and related media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computing skills necessary for the production of computer games including programming, object oriented concepts, data structures and abstract data types, software testing and HCI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knowledge and theory of mathematics, physics and computing to computer games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execute creative development tasks relevant to an application of games and media technology and computing generally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and select the tools and methods appropriate for a given games-related problem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general skills for critical analysis and problem solving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67"/>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Foundation Year route should refer to the Foundation Year in Computing programme specifications for details of the first year modules.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Game Development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Game Development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Game Design and Prototyping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CI4317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Game Development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CI4516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Game Science and Artificial Intelligence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Programming I – Thinking Like a Programmer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4 to level 5 with 90 credits at level 4 or above. The outstanding 30 credits from level 4 can be trailed into level 5 and must be passed before progression to level 6. 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Game Development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3D Graphics Programming and Artificial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CI5525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Computing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Game Development Environments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CI5515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Database-Driven Application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Digital Motion Graphics and Compositing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Introductory Digital Media and Computer Generated Imagery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Multimedia Authoring and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User Centered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5 to level 6 with 90 credits at level 5 or above. The outstanding 30 credits from level 5 can be trailed into level 6 and must be passed before consideration for an award. Students exiting the programme at this point who have successfully completed 240 credits are eligible for the award of Diploma of Higher Education.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who are on the professional placement route take the placement module CI5999 Industrial Placement</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Game Development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Game and Media Production and Generative AI Prototyping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 (Games)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CI6500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Multiplayer and Game Console Programming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CI6515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Mobile Application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Modelling and Animation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CI5012</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360 credits.</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Game Development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Game Development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Game Development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Game Development  with Foundation Year and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Game Development  with Foundation Year and Professional Placement</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92"/>
        <w:gridCol w:w="271"/>
        <w:gridCol w:w="615"/>
        <w:gridCol w:w="615"/>
        <w:gridCol w:w="615"/>
        <w:gridCol w:w="614"/>
        <w:gridCol w:w="1"/>
        <w:gridCol w:w="615"/>
        <w:gridCol w:w="615"/>
        <w:gridCol w:w="615"/>
        <w:gridCol w:w="613"/>
        <w:gridCol w:w="2"/>
        <w:gridCol w:w="615"/>
        <w:gridCol w:w="615"/>
        <w:gridCol w:w="615"/>
        <w:gridCol w:w="68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CI4516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CI4317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CI4105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CI5999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CI5525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CI5515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CI6515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CI6500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9D03DF1-D073-4D8A-A697-091AB268094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