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UFEVS1EVS20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Hazards and Disasters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with Hazards and Disasters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with Hazards and Disasters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with Hazards and Disasters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UFEVH1EHV20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USEVH1EVH45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UFEVS1EVS55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Hazards and Disasters with Foundation Year</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with Hazards and Disasters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with Hazards and Disasters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with Hazards and Disasters with Foundation Year</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UFEVH1EVH55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Hazards and Disasters with Professional Placement</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with Hazards and Disasters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with Hazards and Disasters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with Hazards and Disasters with Professional Placement</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USEVH1EVH45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w:t>
            </w:r>
            <w:r w:rsidRPr="2030048C">
              <w:rPr>
                <w:rStyle w:val="normaltextrun"/>
                <w:rFonts w:ascii="Arial" w:eastAsia="Arial" w:hAnsi="Arial" w:cs="Arial"/>
                <w:b w:val="0"/>
                <w:bCs w:val="0"/>
                <w:color w:val="000000"/>
                <w:sz w:val="24"/>
                <w:szCs w:val="24"/>
                <w:shd w:val="clear" w:color="auto" w:fill="FFFFFF"/>
              </w:rPr>
              <w:t>he Institute of Sustainability and Environmental Professionals (ISEP)</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equips students with a comprehensive understanding of environmental systems and their relevance to society. It fosters a science-based, critical and reflective approach to studying environmental phenomena across diverse geographical contexts. Students will develop the ability to analyse and evaluate primary and secondary data, and communicate informed arguments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builds intellectual, practical and fieldwork skills essential for environmental research, including data acquisition, analysis, and representation using advanced tools such as AI and GIS. It encourages independent thinking, creativity, and critical self-awareness, while supporting personal development and employability through Kingston University’s Graduate Attributes.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will engage with professional environmental practices and consultancy skills through experiential learning and fieldwork. The course also promotes an understanding of sustainability in environmental science, business, and governance.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Pathway options allow students to specialise in: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Environmental Science (parent)</w:t>
      </w:r>
      <w:r w:rsidRPr="2030048C">
        <w:rPr>
          <w:rStyle w:val="normaltextrun"/>
          <w:rFonts w:ascii="Arial" w:hAnsi="Arial" w:cs="Arial"/>
          <w:color w:val="000000" w:themeColor="text1"/>
          <w:sz w:val="22"/>
          <w:szCs w:val="22"/>
          <w:shd w:val="clear" w:color="auto" w:fill="FFFFFF"/>
        </w:rPr>
        <w:t>: with a focus on land-water interactions and ecological concepts.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Hazards and Disasters (pathway)</w:t>
      </w:r>
      <w:r w:rsidRPr="2030048C">
        <w:rPr>
          <w:rStyle w:val="normaltextrun"/>
          <w:rFonts w:ascii="Arial" w:hAnsi="Arial" w:cs="Arial"/>
          <w:color w:val="000000" w:themeColor="text1"/>
          <w:sz w:val="22"/>
          <w:szCs w:val="22"/>
          <w:shd w:val="clear" w:color="auto" w:fill="FFFFFF"/>
        </w:rPr>
        <w:t>: exploring hazard processes, disaster management, and risk reduction strategies.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taking a placement year will gain professional experience, applying their knowledge in real-world settings and enhancing career readiness.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nature of environmental systems, the scientific principles that underpin them and society-environment interactions.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qualitative and quantitative environmental information and select and execute appropriate methods for environmental data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Confidently execute practical tasks such as data collection and analysis, while ensuring safety, logistical planning, and ethical compliance.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techniques for the collection, analysis, interpretation and communication of environmental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for independent and reflective learning. Appraise the arguments of others, rationalise complex contested environmental themes and evaluate sustainable/non-sustainable solutions environmental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Solve complex problems by use of appropriate learning technologies (e.g. AI and GIS) and design and execute environmental science project-based investigations with due regard to logistical and ethical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project management skills through experiences of guided and independent field-based learning and investigations in a range of contrasting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reasoned arguments using appropriate supporting academic and practical evidence and develop confidence in the ability to communicate reasoned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the perspectives of a variety of different stakeholders and develop practical experience in the use of support tools for effective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concepts which underpin the study and management of environmental hazards and disasters.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challenges posed by environmental change and environmental risk reduction strategies at a range of scales and from varying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informed decisions and solve complex problems by use of appropriate learning technologies (including AI).</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professional placement will additionally: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Practice their theoretical understanding and exemplify the relevance of environmental science in a contemporary work environment and enhance their professional skills portfolio.</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professional placement will additionally: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environmental science.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Students opting for a professional placement will additionally be able to: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This programme is offered in 3 year full-time, 4 year full-time with professional placement and leads to the award of either BSc (Hons) Environmental Science, or, a pathway BSc (Hons) Environmental Science, Hazards and Disasters. Both parent and pathway are available with a Professional Placement year. The choice of pathway, defined at the start of Level 5 (students many change their pathway until the start of Level 5 because Level 4 is common).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Entry is normally at Level 4 with A-level or equivalent qualifications (See section D). Transfer from a similar course is possible at Level 5 with passes in comparable Level 4 modules – but is at the discretion of the course team. Intake is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on the 'with Foundation Year' route should refer to the Foundation Year in Science Programme Specification for details of the level 3/first year modules. </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Students can progress from one level to the next with 30 credits trailing but they must pass the failed credits before progressing to the next level. This includes progressing to the placement year.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Full details of each module will be provided in module descriptors and on CANVAS.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BodyText"/>
        <w:ind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Future Skills Learning Outcomes are included:</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Navigate is embedded into </w:t>
      </w:r>
      <w:r w:rsidRPr="2030048C">
        <w:rPr>
          <w:rFonts w:ascii="Arial" w:eastAsia="Arial" w:hAnsi="Arial" w:cs="Arial"/>
          <w:i/>
          <w:iCs/>
          <w:color w:val="000000"/>
          <w:sz w:val="24"/>
          <w:szCs w:val="24"/>
        </w:rPr>
        <w:t>Skills for Professional Practice</w:t>
      </w:r>
      <w:r w:rsidRPr="2030048C">
        <w:rPr>
          <w:rFonts w:ascii="Arial" w:eastAsia="Arial" w:hAnsi="Arial" w:cs="Arial"/>
          <w:color w:val="000000"/>
          <w:sz w:val="24"/>
          <w:szCs w:val="24"/>
        </w:rPr>
        <w:t xml:space="preserve"> (including Low stakes Assessment).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Explore is embedded into </w:t>
      </w:r>
      <w:r w:rsidRPr="2030048C">
        <w:rPr>
          <w:rFonts w:ascii="Arial" w:eastAsia="Arial" w:hAnsi="Arial" w:cs="Arial"/>
          <w:i/>
          <w:iCs/>
          <w:color w:val="000000"/>
          <w:sz w:val="24"/>
          <w:szCs w:val="24"/>
        </w:rPr>
        <w:t>Environmental Management: Policy and Practice</w:t>
      </w:r>
      <w:r w:rsidRPr="2030048C">
        <w:rPr>
          <w:rFonts w:ascii="Arial" w:eastAsia="Arial" w:hAnsi="Arial" w:cs="Arial"/>
          <w:color w:val="000000" w:themeColor="text1" w:themeShade="FF" w:themeTint="FF"/>
          <w:sz w:val="22"/>
          <w:szCs w:val="22"/>
        </w:rPr>
        <w:t xml:space="preserve">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AX6001 </w:t>
      </w:r>
      <w:r w:rsidRPr="2030048C">
        <w:rPr>
          <w:rFonts w:ascii="Arial" w:eastAsia="Arial" w:hAnsi="Arial" w:cs="Arial"/>
          <w:i/>
          <w:iCs/>
          <w:color w:val="000000"/>
          <w:sz w:val="24"/>
          <w:szCs w:val="24"/>
        </w:rPr>
        <w:t>Apply Future Skills</w:t>
      </w:r>
      <w:r w:rsidRPr="2030048C">
        <w:rPr>
          <w:rFonts w:ascii="Arial" w:eastAsia="Arial" w:hAnsi="Arial" w:cs="Arial"/>
          <w:color w:val="000000"/>
          <w:sz w:val="24"/>
          <w:szCs w:val="24"/>
        </w:rPr>
        <w:t>.</w:t>
      </w:r>
    </w:p>
    <w:p w:rsidRPr="2030048C" w:rsidP="2030048C">
      <w:pPr>
        <w:pStyle w:val="MsoBodyText"/>
        <w:ind w:left="105" w:right="375"/>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 and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Analytics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Assessment: Ecology and Contaminated 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 Policy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Conservation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Land and 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Hazards and Disasters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with Hazards and Disasters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 and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with Hazards and Disasters</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Analytics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 Policy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Geohazards, Resilience and Society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with Hazards and Disasters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Disaster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Geophysical Hazards: Processes and DRR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Hazards and Disasters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Hazards and Disasters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with Hazards and Disasters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the nature of this environmental course is such that multiple SDGs are explored (e.g. SDG6 Clean Water and Sanitation, SDG11Sustainable Cities and Communities, SDG13 Climate Action, etc.).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Accreditation by the Institute of Sustainability and Environmental Professionals (ISEP)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PSRB standards</w:t>
        </w:r>
      </w:hyperlink>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59"/>
        <w:gridCol w:w="180"/>
        <w:gridCol w:w="474"/>
        <w:gridCol w:w="474"/>
        <w:gridCol w:w="474"/>
        <w:gridCol w:w="474"/>
        <w:gridCol w:w="474"/>
        <w:gridCol w:w="474"/>
        <w:gridCol w:w="474"/>
        <w:gridCol w:w="474"/>
        <w:gridCol w:w="409"/>
        <w:gridCol w:w="473"/>
        <w:gridCol w:w="1"/>
        <w:gridCol w:w="474"/>
        <w:gridCol w:w="474"/>
        <w:gridCol w:w="474"/>
        <w:gridCol w:w="474"/>
        <w:gridCol w:w="454"/>
        <w:gridCol w:w="474"/>
        <w:gridCol w:w="47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intakes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earth-sciences-environmental-science-and-environmental-studies"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sepglobal.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9D163DC-D71E-4FFD-B029-D520C864193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