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Digital Media Technology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15/05/2025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Polytechnics Mauritius Limited (PML)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Media Technology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Digital Media Technology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UFDTM1DTM10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in Interactive and Digital Media  –</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w:t>
                  </w: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Compensation is permitted in at most 30 credits across programme, excluding the CI6600 Individual Project module. A module other than CI6600 with a grade of F5 (marks 35-39) can be compensated for a PC grade by at least 90 credits passed at that level.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course is to produce highly trained graduates to support the development of the digital society with a focus on the Digital Media industry.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numPr>
          <w:ilvl w:val="0"/>
          <w:numId w:val="13"/>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give students the skills and confidence to produce digital interactive media and graphics products to a professional standard.</w:t>
      </w:r>
    </w:p>
    <w:p w:rsidRPr="2030048C" w:rsidP="2030048C">
      <w:pPr>
        <w:pStyle w:val="ListParagraph"/>
        <w:numPr>
          <w:ilvl w:val="0"/>
          <w:numId w:val="14"/>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produce intellectually adaptable graduates with an appreciation of scientific, computational, technological and creative design methodologies that are receptive to new ideas and change.</w:t>
      </w:r>
    </w:p>
    <w:p w:rsidRPr="2030048C" w:rsidP="2030048C">
      <w:pPr>
        <w:pStyle w:val="ListParagraph"/>
        <w:numPr>
          <w:ilvl w:val="0"/>
          <w:numId w:val="15"/>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produce graduates who have the ability to apply skills from the fields of computing, technology and the arts to solve problems in the field of digital media.</w:t>
      </w:r>
    </w:p>
    <w:p w:rsidRPr="2030048C" w:rsidP="2030048C">
      <w:pPr>
        <w:pStyle w:val="ListParagraph"/>
        <w:numPr>
          <w:ilvl w:val="0"/>
          <w:numId w:val="16"/>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equip students with advanced skills of oral, visual and written communication, problem solving, planning and teamwork.</w:t>
      </w:r>
    </w:p>
    <w:p w:rsidRPr="2030048C" w:rsidP="2030048C">
      <w:pPr>
        <w:pStyle w:val="ListParagraph"/>
        <w:numPr>
          <w:ilvl w:val="0"/>
          <w:numId w:val="17"/>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give a firm foundation of good working practices for the development of 2D and 3D assets and their use in interactive applications</w:t>
      </w:r>
    </w:p>
    <w:p w:rsidRPr="2030048C" w:rsidP="2030048C">
      <w:pPr>
        <w:pStyle w:val="ListParagraph"/>
        <w:numPr>
          <w:ilvl w:val="0"/>
          <w:numId w:val="17"/>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assess the appropriate ability and inclination, and are equipped, to undertake advanced studies and/or research and development in the computing discipline particularly in relation to digital media technology</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the digital media based skills used for digital imaging, interactive computing, multimedia or visual effects including 2D or 3D graphics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 interdisciplinary approach to work in multimedia developments through acquiring an understanding of, and intellectual flexibility towards, a range of visual arts, sciences and/or computer based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 creative development task relevant to an application in industry that exploits new media/computing technology, to a high level of technical competence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technical computer based skills for the generation, manipulation and storage of images, sound, data and other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from a variety of sources (including academic literature) including where information is missing or unclear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skills and technologies for the development of a creative media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innovative use of technology can be applied to solve design based problems within the fields of interactive multimedia, visual effects and/or computing generally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computing as a technology employed by society relates to, and interacts with, other technologies and an awareness of its current, and likely future, role in and effect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development of digital media assets and applications with regard to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develop interactive computing and multimedia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work in digital media development through acquiring and understanding of an intellectually flexibility towards a range of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and test a creative computer based project to agreed criteria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Media Technology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Media Technology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PML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Game and Media Production and Generative AI Prototyping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Visual Effects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rsidRPr="2030048C" w:rsidP="2030048C">
      <w:pPr>
        <w:ind w:left="285"/>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Learning Digital Media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Pr="2030048C" w:rsidP="2030048C">
      <w:pPr>
        <w:pStyle w:val="p"/>
        <w:jc w:val="both"/>
        <w:rPr>
          <w:rFonts w:ascii="Arial" w:eastAsia="Arial" w:hAnsi="Arial" w:cs="Arial"/>
          <w:sz w:val="24"/>
          <w:szCs w:val="24"/>
        </w:rPr>
      </w:pPr>
      <w:r w:rsidRPr="2030048C">
        <w:rPr>
          <w:rFonts w:ascii="Arial" w:eastAsia="Arial" w:hAnsi="Arial" w:cs="Arial"/>
          <w:b/>
          <w:bCs/>
          <w:sz w:val="24"/>
          <w:szCs w:val="24"/>
        </w:rPr>
        <w:t>Assessment and Feedback</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assessment is regarded as an integral part of our learning and teaching strategy, and incorporates both assessments of and for learning. Ample opportunities are given to students for formative assessment with rapid feedback.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2030048C" w:rsidP="2030048C">
      <w:pPr>
        <w:pStyle w:val="p"/>
        <w:jc w:val="both"/>
        <w:rPr>
          <w:rFonts w:ascii="Arial" w:eastAsia="Arial" w:hAnsi="Arial" w:cs="Arial"/>
          <w:sz w:val="24"/>
          <w:szCs w:val="24"/>
        </w:rPr>
      </w:pPr>
      <w:r w:rsidRPr="2030048C">
        <w:rPr>
          <w:rFonts w:ascii="Arial" w:eastAsia="Arial" w:hAnsi="Arial" w:cs="Arial"/>
          <w:b/>
          <w:bCs/>
          <w:color w:val="1F4D78"/>
          <w:sz w:val="24"/>
          <w:szCs w:val="24"/>
        </w:rPr>
        <w:t>Inclusive Teaching Practice</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teaching practice is guided by the AHE’s (Advance HE) principles for effective practice across subject areas, alongside Kingston University’s Inclusive Curriculum framework. In particular, a collaborative approach which creates a partnership between staff, students, employers and other stakeholders. Opportunities to ensure that the curriculum is inclusive take place at such forums as the Student Voice Committees and School Education Committee meetings,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Resources are provided on the KU EDI website.</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Feedback, in a variety of formats provides students with guidance in developing skills which are both beneficial for future assessments and highly valued by employers.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The 30-credit Capstone Individual Project consolidates independent learning skills and typically provides an opportunity to apply academic knowledge in a practical context, either through the implementation of a solution or the creation of a suitable artefact.</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In the programme as a whole, the following components are used in the assessment of the various modules:</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Practical exercises: to assess students’ understanding and technical competence</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Written report, where the ability to communicate the relevant concepts, methods, results and conclusions effectively will be assessed.</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Oral presentation, where the ability to summarise accurately and communicate clearly the key points from the work in a brief presentation will be assessed.</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Poster presentation where information and results must be succinct and eye-catching.</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Video, which may replicate features of oral presentations but allows advance preparation away from the audience (which may suit some students better).</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Article emphasising the ability to communicate with different audiences.</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Interview emphasising the ability to answer questions appropriately and relevantly.</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Simulated client interactions: letters, quotations, etc.</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Multiple choice or short answer questions: to assess competence in basic techniques and understanding of concepts.</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Long answer structured questions in coursework assignments: to assess ability to apply learned techniques to solve simple to medium problems and which may include a limited investigative component</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Long answer structured questions in end-of-module examinations: to assess overall breadth of knowledge and technical competence to provide concise and accurate solutions within restricted time</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PSRB standards</w:t>
        </w:r>
      </w:hyperlink>
    </w:p>
    <w:p w:rsidRPr="2030048C" w:rsidP="2030048C">
      <w:pPr>
        <w:numPr>
          <w:ilvl w:val="0"/>
          <w:numId w:val="22"/>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QAA Subject benchmarks</w:t>
        </w:r>
      </w:hyperlink>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9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two entry points - September and March.</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ListParagraph0">
    <w:name w:val="ListParagraph"/>
    <w:basedOn w:val="ListParagraph"/>
  </w:style>
  <w:style w:type="paragraph" w:customStyle="1" w:styleId="p">
    <w:name w:val="p"/>
    <w:basedOn w:val="Normal"/>
  </w:style>
  <w:style w:type="paragraph" w:customStyle="1" w:styleId="ListParagraph00">
    <w:name w:val="ListParagraph0"/>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docs/qaa/sbs/sbs-computing-22.pdf?sfvrsn=ebb3dc81_4"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bcs.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C27DB38-90E8-4669-BC43-BC892176028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