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Digital and Technology Solutions Degree Apprenticeship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06/08/2023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Corndel Education Ltd (CEL)</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Digital and Technology Solutions Degree Apprenticeship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(Hons) Digital and Technology Solutions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(Hons) Digital and Technology Solutions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(Hons) Digital and Technology Solutions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UODTS1DTS79</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Corndel Education Ltd (CEL)</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Corndel Education Ltd (CEL)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Mainly online (between 41-99%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32 months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45 months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00C447A7" w:rsidRPr="00BF1022" w:rsidP="2030048C" w14:paraId="4B08F2A9" w14:textId="36373671">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GCSE Maths and English + normally, a L3 qualification. Applicants required to successfully complete an virtual assessment centre exercise to assess their suitability. (Sova assessment)</w:t>
            </w: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00A92C9B" w:rsidRPr="00BF1022" w:rsidP="2030048C" w14:paraId="749FB0F8" w14:textId="47CAF51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n/a</w:t>
            </w: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n/a</w:t>
            </w: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Yes</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2CEE21A5" w:rsidP="3F857433" w14:paraId="7A2E12A4" w14:textId="06931BC3">
      <w:pPr>
        <w:rPr>
          <w:rStyle w:val="normaltextrun"/>
          <w:rFonts w:ascii="Arial" w:eastAsia="Arial" w:hAnsi="Arial" w:cs="Arial"/>
          <w:color w:val="000000" w:themeColor="text1" w:themeShade="FF" w:themeTint="F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149E0DB4">
        <w:tblPrEx>
          <w:tblW w:w="0" w:type="auto"/>
          <w:tblLook w:val="04A0"/>
        </w:tblPrEx>
        <w:tc>
          <w:tcPr>
            <w:tcW w:w="9016" w:type="dxa"/>
            <w:gridSpan w:val="2"/>
          </w:tcPr>
          <w:p w:rsidR="00A92C9B" w:rsidRPr="00BF1022" w:rsidP="149E0DB4" w14:paraId="148D1BBF" w14:textId="145B8F13">
            <w:pPr>
              <w:rPr>
                <w:rFonts w:ascii="Arial" w:eastAsia="Arial" w:hAnsi="Arial" w:cs="Arial"/>
                <w:b/>
                <w:bCs/>
                <w:i/>
                <w:iCs/>
                <w:sz w:val="24"/>
                <w:szCs w:val="24"/>
              </w:rPr>
            </w:pPr>
            <w:r w:rsidRPr="149E0DB4">
              <w:rPr>
                <w:rFonts w:ascii="Arial" w:eastAsia="Arial" w:hAnsi="Arial" w:cs="Arial"/>
                <w:b/>
                <w:bCs/>
                <w:i/>
                <w:iCs/>
                <w:sz w:val="24"/>
                <w:szCs w:val="24"/>
              </w:rPr>
              <w:t>For Higher or Degree Apprenticeship proposals only</w:t>
            </w:r>
          </w:p>
          <w:p w:rsidR="00A92C9B" w:rsidRPr="00BF1022" w:rsidP="540725A5" w14:paraId="046E2DA1" w14:textId="77777777">
            <w:pPr>
              <w:rPr>
                <w:rFonts w:ascii="Arial" w:eastAsia="Arial" w:hAnsi="Arial" w:cs="Arial"/>
                <w:b w:val="0"/>
                <w:bCs w:val="0"/>
                <w:i/>
                <w:iCs/>
                <w:color w:val="FF0000"/>
                <w:sz w:val="24"/>
                <w:szCs w:val="24"/>
              </w:rPr>
            </w:pPr>
          </w:p>
        </w:tc>
      </w:tr>
      <w:tr w14:paraId="601CA2E9" w14:textId="77777777" w:rsidTr="149E0DB4">
        <w:tblPrEx>
          <w:tblW w:w="0" w:type="auto"/>
          <w:tblLook w:val="04A0"/>
        </w:tblPrEx>
        <w:tc>
          <w:tcPr>
            <w:tcW w:w="3436" w:type="dxa"/>
          </w:tcPr>
          <w:p w:rsidR="00A92C9B" w:rsidRPr="00BF1022" w:rsidP="540725A5" w14:paraId="555F3D3A"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Higher or </w:t>
            </w:r>
            <w:r w:rsidRPr="540725A5">
              <w:rPr>
                <w:rFonts w:ascii="Arial" w:eastAsia="Arial" w:hAnsi="Arial" w:cs="Arial"/>
                <w:b w:val="0"/>
                <w:bCs w:val="0"/>
                <w:sz w:val="24"/>
                <w:szCs w:val="24"/>
              </w:rPr>
              <w:t>Degree Apprenticeship standard:</w:t>
            </w:r>
          </w:p>
          <w:p w:rsidR="00A92C9B" w:rsidRPr="00BF1022" w:rsidP="540725A5" w14:paraId="41BCBCC0" w14:textId="77777777">
            <w:pPr>
              <w:rPr>
                <w:rFonts w:ascii="Arial" w:eastAsia="Arial" w:hAnsi="Arial" w:cs="Arial"/>
                <w:b w:val="0"/>
                <w:bCs w:val="0"/>
                <w:sz w:val="24"/>
                <w:szCs w:val="24"/>
              </w:rPr>
            </w:pPr>
          </w:p>
        </w:tc>
        <w:tc>
          <w:tcPr>
            <w:tcW w:w="5580" w:type="dxa"/>
          </w:tcPr>
          <w:p w:rsidR="00A92C9B" w:rsidRPr="00BF1022" w:rsidP="2030048C" w14:paraId="00A1F40F" w14:textId="7A2FA46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Digital and Technology Solutions Professional Degree Apprenticeship Standard V1.2 (2023, IfATE)</w:t>
            </w:r>
            <w:r w:rsidRPr="2030048C">
              <w:rPr>
                <w:rStyle w:val="eop"/>
                <w:rFonts w:ascii="Arial" w:eastAsia="Arial" w:hAnsi="Arial" w:cs="Arial"/>
                <w:b w:val="0"/>
                <w:bCs w:val="0"/>
                <w:color w:val="000000"/>
                <w:sz w:val="24"/>
                <w:szCs w:val="24"/>
                <w:shd w:val="clear" w:color="auto" w:fill="FFFFFF"/>
                <w:lang w:val="en-GB"/>
              </w:rPr>
              <w:t> </w:t>
            </w:r>
          </w:p>
        </w:tc>
      </w:tr>
      <w:tr w14:paraId="3120C580" w14:textId="77777777" w:rsidTr="149E0DB4">
        <w:tblPrEx>
          <w:tblW w:w="0" w:type="auto"/>
          <w:tblLook w:val="04A0"/>
        </w:tblPrEx>
        <w:tc>
          <w:tcPr>
            <w:tcW w:w="3436" w:type="dxa"/>
          </w:tcPr>
          <w:p w:rsidR="00A92C9B" w:rsidRPr="00BF1022" w:rsidP="2030048C" w14:paraId="45A2BF14"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 xml:space="preserve">Recruitment, </w:t>
            </w:r>
            <w:r w:rsidRPr="2030048C">
              <w:rPr>
                <w:rFonts w:ascii="Arial" w:eastAsia="Arial" w:hAnsi="Arial" w:cs="Arial"/>
                <w:b w:val="0"/>
                <w:bCs w:val="0"/>
                <w:sz w:val="24"/>
                <w:szCs w:val="24"/>
                <w:lang w:val="en-GB"/>
              </w:rPr>
              <w:t>Selection</w:t>
            </w:r>
            <w:r w:rsidRPr="2030048C">
              <w:rPr>
                <w:rFonts w:ascii="Arial" w:eastAsia="Arial" w:hAnsi="Arial" w:cs="Arial"/>
                <w:b w:val="0"/>
                <w:bCs w:val="0"/>
                <w:sz w:val="24"/>
                <w:szCs w:val="24"/>
                <w:lang w:val="en-GB"/>
              </w:rPr>
              <w:t xml:space="preserve"> and Admission process:</w:t>
            </w:r>
          </w:p>
          <w:p w:rsidR="00A92C9B" w:rsidRPr="00BF1022" w:rsidP="540725A5" w14:paraId="0F893FEE" w14:textId="77777777">
            <w:pPr>
              <w:rPr>
                <w:rFonts w:ascii="Arial" w:eastAsia="Arial" w:hAnsi="Arial" w:cs="Arial"/>
                <w:b w:val="0"/>
                <w:bCs w:val="0"/>
                <w:sz w:val="24"/>
                <w:szCs w:val="24"/>
              </w:rPr>
            </w:pPr>
          </w:p>
        </w:tc>
        <w:tc>
          <w:tcPr>
            <w:tcW w:w="5580" w:type="dxa"/>
          </w:tcPr>
          <w:p w:rsidR="00A92C9B" w:rsidRPr="00BF1022" w:rsidP="2030048C" w14:paraId="1F6642E3" w14:textId="5DEC8FDB">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Applicants will need to be nominated by an employer or be recruited by an employer having undertaken Corndel’s suitability assessment. Student must meet standard ESFA eligibility requirements and undertake skills radar (prior learning assessment) prior to enrolment. In most cases prior learning is not expected to lead to RP(E)L and will instead be accounted for in the funding draw down.</w:t>
            </w:r>
            <w:r w:rsidRPr="2030048C">
              <w:rPr>
                <w:rStyle w:val="eop"/>
                <w:rFonts w:ascii="Arial" w:eastAsia="Arial" w:hAnsi="Arial" w:cs="Arial"/>
                <w:b w:val="0"/>
                <w:bCs w:val="0"/>
                <w:color w:val="000000"/>
                <w:sz w:val="24"/>
                <w:szCs w:val="24"/>
                <w:shd w:val="clear" w:color="auto" w:fill="FFFFFF"/>
                <w:lang w:val="en-GB"/>
              </w:rPr>
              <w:t> </w:t>
            </w:r>
          </w:p>
        </w:tc>
      </w:tr>
      <w:tr w14:paraId="74391ED5" w14:textId="77777777" w:rsidTr="149E0DB4">
        <w:tblPrEx>
          <w:tblW w:w="0" w:type="auto"/>
          <w:tblLook w:val="04A0"/>
        </w:tblPrEx>
        <w:tc>
          <w:tcPr>
            <w:tcW w:w="3436" w:type="dxa"/>
          </w:tcPr>
          <w:p w:rsidR="00A92C9B" w:rsidRPr="00BF1022" w:rsidP="540725A5" w14:paraId="51457A78" w14:textId="77777777">
            <w:pPr>
              <w:rPr>
                <w:rFonts w:ascii="Arial" w:eastAsia="Arial" w:hAnsi="Arial" w:cs="Arial"/>
                <w:b w:val="0"/>
                <w:bCs w:val="0"/>
                <w:sz w:val="24"/>
                <w:szCs w:val="24"/>
              </w:rPr>
            </w:pPr>
            <w:r w:rsidRPr="540725A5">
              <w:rPr>
                <w:rFonts w:ascii="Arial" w:eastAsia="Arial" w:hAnsi="Arial" w:cs="Arial"/>
                <w:b w:val="0"/>
                <w:bCs w:val="0"/>
                <w:sz w:val="24"/>
                <w:szCs w:val="24"/>
              </w:rPr>
              <w:t>End Point Assessment Organisation(s)</w:t>
            </w:r>
            <w:r w:rsidRPr="540725A5">
              <w:rPr>
                <w:rFonts w:ascii="Arial" w:eastAsia="Arial" w:hAnsi="Arial" w:cs="Arial"/>
                <w:b w:val="0"/>
                <w:bCs w:val="0"/>
                <w:sz w:val="24"/>
                <w:szCs w:val="24"/>
              </w:rPr>
              <w:t>:</w:t>
            </w:r>
          </w:p>
        </w:tc>
        <w:tc>
          <w:tcPr>
            <w:tcW w:w="5580" w:type="dxa"/>
          </w:tcPr>
          <w:p w:rsidR="00A92C9B" w:rsidRPr="00E561A2" w:rsidP="540725A5" w14:paraId="7178258F" w14:textId="20828AEF">
            <w:pPr>
              <w:pStyle w:val="paragraph"/>
              <w:spacing w:before="0" w:beforeAutospacing="0" w:after="0" w:afterAutospacing="0"/>
              <w:textAlignment w:val="baseline"/>
              <w:rPr>
                <w:rFonts w:ascii="Arial" w:eastAsia="Arial" w:hAnsi="Arial" w:cs="Arial"/>
                <w:b w:val="0"/>
                <w:bCs w:val="0"/>
                <w:sz w:val="24"/>
                <w:szCs w:val="24"/>
              </w:rPr>
            </w:pPr>
            <w:r w:rsidRPr="2030048C">
              <w:rPr>
                <w:rStyle w:val="normaltextrun"/>
                <w:rFonts w:ascii="Arial" w:eastAsia="Arial" w:hAnsi="Arial" w:cs="Arial"/>
                <w:b w:val="0"/>
                <w:bCs w:val="0"/>
                <w:sz w:val="24"/>
                <w:szCs w:val="24"/>
                <w:lang w:val="en-GB"/>
              </w:rPr>
              <w:t>Kingston university</w:t>
            </w:r>
            <w:r w:rsidRPr="540725A5">
              <w:rPr>
                <w:rStyle w:val="eop"/>
                <w:rFonts w:ascii="Arial" w:eastAsia="Arial" w:hAnsi="Arial" w:cs="Arial"/>
                <w:b w:val="0"/>
                <w:bCs w:val="0"/>
                <w:sz w:val="24"/>
                <w:szCs w:val="24"/>
              </w:rPr>
              <w:t> </w:t>
            </w:r>
          </w:p>
          <w:p w:rsidR="00A92C9B" w:rsidRPr="00BF1022" w:rsidP="540725A5" w14:paraId="2945C23B" w14:textId="77777777">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BSc (Hons) Digital &amp; Technology Solutions aims to:</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Provide a dynamic and practical learning environment to enable learners to acquire and apply digital &amp; technical solutions skills to real world contexts and situations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Provide a foundational understanding of digital &amp; technical solutions and the role of key functions including data analysis, management of digital and technology projects, development of data software solutions and an understanding of systems and infrastructure to achieve strategic organisational aims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Provide students with knowledge, skills and behaviours to enable engagement with current digital and technology issues and challenges through a lens of ethics, sustainability, and responsibility.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reflect upon issues, concepts, theories and</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perspectives relevant to the subject, developing &amp; evaluating complex arguments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and employ theories and skills and techniques to achieve practical outcomes in real-world contexts / scenarios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 Critically evaluate and employ professional and ethical working practices, acting in the best interest of the organisation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Critique and employ a wide range of discipline-specific theories, concepts and skills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Employ a range of ideas that inform evidence-based decision making within.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collaboration processes to facilitate</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effective working relationships, share ideas</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and address complex challenges for mutual</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benefit</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Employ a range of digital tools to solve complex problems and support excellent communication.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arguments and reasoning effectively, with a good understanding of audience and purpose.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evaluate political, social and environmental issues related to professional contexts.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Create and implement solutions to complex problems, using a range of problem-solving tools and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4 Data Fundamentals 30 Credits Developing Data Projects 30 Credits Managing Technology Projects 30 Credits Sustainable Technology Solutions 30 Credits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5 Secure Systems and Infrastructure 30 Credits Data Solutions Architecture 30 Credits Data Informed Solutions 30 Credits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6 Collaborative Professional Development 30 Credits Research Ethics 30 Credits Data Analysis Project 30 Credits Project Report 30 Credits 30 Credits Using &amp; Presenting Business Intelligence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 Level 4 (all core) Core modules Module code Credit Value Level Data Fundamentals DT401 30 4 Developing Data Projects DT402 30 4 Managing Technology Projects DT403 30 4 Sustainable Technology Solutions DT404 30 4</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EducationDigital &amp; Technology Solutions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5 (all core) This course permits progression from level 4 to level 5 with 90 credits at level 4 or above. Core modules Module code Credit Value Level Secure Systems and Infrastructure DT501 30 5 Data Solutions Architecture DT502 30 5 Using and presenting Business Intelligence DT503 30 5 Data Informed Solutions DT504 30 5 This course permits progression from level 5 to level 6 with 90 credits at level 5 or above. Students exiting the programme at this point who have successfully completed 120 credits at level 5 or above are eligible for the award of Diploma of Higher Education in Digital &amp; Technology Solutions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6 Core modules Module code Credit Value Level Collaborative Professional Development DT601 30 6 Research Ethics DT602 30 6 Data Analysis Project DT603 30 6 Project Report DT604 30 6 Level 6 requires the completion of the modules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Digital and Technology Solutions Degree Apprenticeship</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Digital and Technology Solutions Degree Apprenticeship</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Fundamentals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CI4401/DT401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Developing Data Projects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CI4402/DT402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Managing Technology Projects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CI4403/DT403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Sustainable Technology Solutions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CI4404/DT404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Digital and Technology Solutions Degree Apprenticeship</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Data Informed Solutions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CI5104/DT504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Data Solutions Architecture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CI5102/DT502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Secure Systems and Infrastructure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CI5101/DT501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Using and presenting Business Intelligence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CI5103/DT503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Digital and Technology Solutions Degree Apprenticeship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Collaborative Professional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CI6601/DT601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Data Analysis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CI6603/DT603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End Point Assessment (Project Report)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CI6604/DT604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Ethics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CI6602/DT602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the modules</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 BSc (Hons) Digital &amp; Technology Solutions programme provides an innovative and dynamic learning environment for students to enable both flexibility through asynchronous activities and facilitated learning support in the synchronous learning activities. It combines academic learning with a level 6 Digital &amp; Technical Solutions Professional degree apprenticeship. The programme is structured over 12 modules each covering a 10 week teaching and assessment block. Principles of teaching, Learning, Assessment and Support is provided below: Asynchronous e-learning materials and lectures Asynchronous learning activities for each module accessed flexibly on-demand: o e-Learning lessons: these weekly activities provide specialist content for each module including theory, models, tools and techniques. It incorporates regular activities and exercises applied to the learner’s working environment that help AQSH: Template C4 2022-23 Page 12 of 17 to build practical understanding and provide evidence for the building of the apprenticeship portfolio. o Module Challenge: at the beginning of each module learners will be provided with a ‘module challenge’ that builds into an assignment submitted at the end of the block. o Lectures: there will be three per module and these provide an opportunity to introduce key features of a module, to deepen knowledge of a particular aspect of the module and to support assessment preparation for the Module Challenge. Synchronous Workshops, Peer Learning Activity and Academic and Professional Skills Synchronous learning activities for each module scheduled in advance for interactive learning: o Facilitated specialist workshops: these support the development of understanding of the specialist content in groups that run three times for each module (1-1.5 hours per session). o Academic and professional skills sessions: these provide specific skills that are tailored to each module to develop skills for specific activities and for the assessment. For example a session could include an activity such as: Advanced Excel spreadsheet skills, academic writing and referencing, data management dependent on the particular module (1 hour per session). Additionally, all students are provided with frequent one-to-one business coaching throughout the programme. Module Challenges and Authentic Assessment The Course aims for each assessment where possible to reflect an ‘authentic’ business experience, providing opportunities for learners to build skills and experience that are valuable in the workplace. The initial challenge set at the beginning of each module will lead to an assessment that is submitted at the end of the teaching and learning block for that module. Examples of authentic assessment could include: o An in-depth personal analysis and reflection on practice, identifying key areas for personal development as a digital &amp; technical solutions professional, with the creation of a dynamic Personal Development Plan that will be reviewed throughout the programme AQSH: Template C4 2022-23 Page 13 of 17 o A business presentation on an sustainable technology proposal that is recorded and uploaded, based on a structured preparation process that is supported by a list of references used to ensure content is both informative and accurate o Researching and writing of a journalistic article that provides insight and multiple perspectives on a current and contemporary issue that has relevance to their organisation and/or industry o Assessment portfolio, demonstrating the development of appropriate software artefacts, relevant to the needs of the business.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Corndel Students are supported by: • Their Professional Development Exepert (PDE). The cornerstone of Corndel’s personalised delivery model, each learner is allocated to a PDE who they meet frequently. The PDE supports learners to contextualise their learning within their role, providing formative feedback to support threshold and stretch attainment, and acting as the first port of call for a broad range of student support requirements. Students will develop an individual learning plan with their PDE which is regular updated and progress evaluated against. • Students will have access to Corndel’s extensive online line learning materials via the virtual learning environment, including access to e-book versions of texts within module reading lists and access to journal collections. • PDEs also signpost additional learning and support via Corndel’s support for skills and Qwell who support student mental health and wellbeing.</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 • External examiners • Boards of study with student representation • Annual Monitoring and Enhancement • Continuous Monitoring of courses through the Kingston Course Enhancement Programme (KCEP+) AQSH: Template C4 2022-23 Page 14 of 17 • Student evaluation including Module Evaluation Questionnaires (MEQs), level surveys and the National Student Survey (NSS) • Moderation policies • 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732"/>
        <w:gridCol w:w="153"/>
        <w:gridCol w:w="677"/>
        <w:gridCol w:w="677"/>
        <w:gridCol w:w="677"/>
        <w:gridCol w:w="677"/>
        <w:gridCol w:w="677"/>
        <w:gridCol w:w="677"/>
        <w:gridCol w:w="677"/>
        <w:gridCol w:w="677"/>
        <w:gridCol w:w="677"/>
        <w:gridCol w:w="677"/>
        <w:gridCol w:w="677"/>
        <w:gridCol w:w="67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CI4403/DT403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CI4404/DT404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CI4401/DT401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CI4402/DT402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CI5102/DT502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CI5101/DT501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CI5103/DT503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CI5104/DT504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CI6601/DT601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CI6603/DT603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CI6602/DT602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CI6604/DT604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250CCC34-7E0F-48C4-B638-3630619D965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