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Quantity Surveying top-up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 top-up Distance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Quantity Surveying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UOQSV1QSV21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K281 (full-time) K240 (Sandwich)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Distance Learning</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Fully online (100%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From:</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Pearson / Edexcel HND Levels:</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 pass in the relevant HND to include a pass in the sixteen units listed in Table 1 below (or their equivalent and the achievement of overall score of 240 credit points of which 120 would be at Level 5</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Equivalent Qualifications: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Suitably qualified in a recognised qualification at levels 4 and / or 5, thereby having equivalence to the first two years of a degree.</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 Standard Entry:</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 candidate with relevant educational / vocational / professional qualifications relevant to the area of quantity surveying together with suitable amount of professional experience verifiable through employment and service records.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English Language Requirements: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International English Language Testing System (IELTS) score of 6.0 overall with minimum 5.5 in Speaking, Writing, Reading and Listening or equivalent, is required for those for whom English is not their first language.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255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Other qualifications are considered as equivalent alternatives to IELTS requirements for entry into Kingston University programmes approved for delivery at ESOFT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GCE O Level English language</w:t>
            </w:r>
            <w:r w:rsidRPr="2030048C">
              <w:rPr>
                <w:rStyle w:val="normaltextrun"/>
                <w:rFonts w:ascii="Arial" w:eastAsia="Arial" w:hAnsi="Arial" w:cs="Arial"/>
                <w:b w:val="0"/>
                <w:bCs w:val="0"/>
                <w:color w:val="000000"/>
                <w:sz w:val="22"/>
                <w:szCs w:val="22"/>
                <w:shd w:val="clear" w:color="auto" w:fill="FFFFFF"/>
              </w:rPr>
              <w:t xml:space="preserve">: Credit, Distinction or Very good pass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 English for Academic Purposes modules in reading, writing, listening and speaking</w:t>
            </w:r>
            <w:r w:rsidRPr="2030048C">
              <w:rPr>
                <w:rStyle w:val="normaltextrun"/>
                <w:rFonts w:ascii="Arial" w:eastAsia="Arial" w:hAnsi="Arial" w:cs="Arial"/>
                <w:b w:val="0"/>
                <w:bCs w:val="0"/>
                <w:color w:val="000000"/>
                <w:sz w:val="22"/>
                <w:szCs w:val="22"/>
                <w:shd w:val="clear" w:color="auto" w:fill="FFFFFF"/>
              </w:rPr>
              <w:t xml:space="preserve">: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6"/>
              <w:gridCol w:w="769"/>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pStyle w:val="MsoBodyText3"/>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144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0"/>
                <w:szCs w:val="20"/>
                <w:shd w:val="clear" w:color="auto" w:fill="FFFFFF"/>
              </w:rPr>
              <w:t>N.B.            All applications will be subject to the Kingston University Accreditation of Prior Learning (APL) rules and regulations applicable at the time of application.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2"/>
                <w:szCs w:val="22"/>
                <w:shd w:val="clear" w:color="auto" w:fill="FFFFFF"/>
              </w:rPr>
              <w:t xml:space="preserve">            </w:t>
            </w:r>
            <w:r w:rsidRPr="2030048C">
              <w:rPr>
                <w:rStyle w:val="normaltextrun"/>
                <w:rFonts w:ascii="Arial" w:eastAsia="Arial" w:hAnsi="Arial" w:cs="Arial"/>
                <w:b/>
                <w:bCs/>
                <w:color w:val="222222"/>
                <w:sz w:val="20"/>
                <w:szCs w:val="20"/>
                <w:shd w:val="clear" w:color="auto" w:fill="FFFFFF"/>
              </w:rPr>
              <w:t>Table 1:</w:t>
            </w:r>
            <w:r w:rsidRPr="2030048C">
              <w:rPr>
                <w:rStyle w:val="normaltextrun"/>
                <w:rFonts w:ascii="Arial" w:eastAsia="Arial" w:hAnsi="Arial" w:cs="Arial"/>
                <w:b w:val="0"/>
                <w:bCs w:val="0"/>
                <w:color w:val="222222"/>
                <w:sz w:val="20"/>
                <w:szCs w:val="20"/>
                <w:shd w:val="clear" w:color="auto" w:fill="FFFFFF"/>
              </w:rPr>
              <w:t>  HND in Quantity Surveying </w:t>
            </w:r>
          </w:p>
          <w:tbl>
            <w:tblPr>
              <w:tblStyle w:val="Table"/>
              <w:tblCellSpacing w:w="15" w:type="dxa"/>
              <w:tblCellMar>
                <w:top w:w="15" w:type="dxa"/>
                <w:left w:w="15" w:type="dxa"/>
                <w:bottom w:w="15" w:type="dxa"/>
                <w:right w:w="15" w:type="dxa"/>
              </w:tblCellMar>
              <w:tblLook w:val="05E0"/>
            </w:tblPr>
            <w:tblGrid>
              <w:gridCol w:w="3871"/>
              <w:gridCol w:w="847"/>
              <w:gridCol w:w="956"/>
            </w:tblGrid>
            <w:tr>
              <w:tblPrEx>
                <w:tblLook w:val="05E0"/>
              </w:tblPrEx>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222222"/>
                      <w:sz w:val="20"/>
                      <w:szCs w:val="20"/>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222222"/>
                      <w:sz w:val="20"/>
                      <w:szCs w:val="20"/>
                      <w:shd w:val="clear" w:color="auto" w:fill="FFFFFF"/>
                    </w:rPr>
                    <w:t>QCF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222222"/>
                      <w:sz w:val="20"/>
                      <w:szCs w:val="20"/>
                      <w:shd w:val="clear" w:color="auto" w:fill="FFFFFF"/>
                    </w:rPr>
                    <w:t>Credit Value</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09: Context of Quantity Surveying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02: Analytical Methods for Quantity Surveyors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11: IT Applications for Quantity Surveyors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14: Residential Construction Technology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12: Measurement for Construction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04: Commercial Construction Technology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06: Computer-Aided Design in Construction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03: Building Services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13: Properties of Construction Materials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16: Work-based Training and Development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01: Advanced Measurement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07: Construction Economics and Cost Planning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08: Construction Estimation and Tendering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10: Industrial Law and Contract Administration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05: Communication, Presentation and Performance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Unit 15: Work-based Learning and Assessment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22222"/>
                      <w:sz w:val="20"/>
                      <w:szCs w:val="20"/>
                      <w:shd w:val="clear" w:color="auto" w:fill="FFFFFF"/>
                    </w:rPr>
                    <w:t>15</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jc w:val="both"/>
              <w:rPr>
                <w:rStyle w:val="normaltextrun"/>
                <w:rFonts w:ascii="Calibri" w:eastAsia="Calibri" w:hAnsi="Calibri" w:cs="Calibri"/>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bCs/>
                <w:color w:val="000000" w:themeColor="text1" w:themeShade="FF" w:themeTint="FF"/>
                <w:sz w:val="22"/>
                <w:szCs w:val="22"/>
              </w:rPr>
              <w:t xml:space="preserve"> </w:t>
            </w:r>
            <w:r w:rsidRPr="158602C4">
              <w:rPr>
                <w:rStyle w:val="normaltextrun"/>
                <w:rFonts w:ascii="Calibri" w:eastAsia="Calibri" w:hAnsi="Calibri" w:cs="Calibri"/>
                <w:b w:val="0"/>
                <w:bCs w:val="0"/>
                <w:color w:val="000000" w:themeColor="text1" w:themeShade="FF" w:themeTint="FF"/>
                <w:sz w:val="22"/>
                <w:szCs w:val="22"/>
              </w:rPr>
              <w:t>None</w:t>
            </w:r>
            <w:r w:rsidRPr="158602C4">
              <w:rPr>
                <w:rStyle w:val="normaltextrun"/>
                <w:rFonts w:ascii="Calibri" w:eastAsia="Calibri" w:hAnsi="Calibri" w:cs="Calibri"/>
                <w:b/>
                <w:bCs/>
                <w:color w:val="000000" w:themeColor="text1" w:themeShade="FF" w:themeTint="FF"/>
                <w:sz w:val="22"/>
                <w:szCs w:val="22"/>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The role of the Quantity Surveyor is vital to the construction process and as such Quantity Surveyors have an important role to play in ensuring that developments are completed to time and on budget.  Once regarded as experts in cost estimation, the role of the Quantity Surveyor has developed into that of construction cost consultant and project manager. They are employed both within the construction industry key players – the contractors’ Quantity Surveyors – and as client representatives – the consultant Quantity Surveyors. Both require high levels of numeracy and IT literacy and the ability to both manage processes and appreciate legal constraints.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In order to be a successful Quantity Surveyor, a sound knowledge of construction is required, as the Quantity Surveyor interprets architects’ drawings and from these, they specify both the materials that will be required for construction and the estimated costs of the project. They will normally be engaged throughout the project period, often as the lead project manager and certainly as a member of the whole management team responsible for the safe, timely and good quality delivery of the scheme in compliance with the budget.  From small schemes, such as the refurbishment of a local office block to the delivery of a major project such as a new airport terminal or other major infrastructure project, the Quantity Surveyor is a vital advisor.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In recent years, Quantity Surveyors have also developed an increasingly important role in relation to the whole life costing analysis of buildings.  In other words, they now advise building owners not just on the initial capital investment of the building project but on the total maintenance and running costs over the projected life of the building.  Further in the light of the need to combat climate change by reduction of carbon emissions, 50% of which are estimated to come from building construction and use, they offer expertise in how to calculate likely carbon emissions over the whole life-cycle and of course how to reduce carbon through the use of certain materials and building techniques and by the use of IT software.</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This programme has been designed for those wishing to undertake a challenging programme of study which will enable them to study in-depth, many aspects of the construction sector with a view to entering into a career in construction both within the private practice and contracting sector and most likely to seek to qualify as a Chartered Surveyor.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On successful completion of this programme, students will develop a strong sense of the importance of balancing social, economic, and environmental concerns such that they can contribute positively towards the creation of a more sustainable society.  Graduates from the programme are likely to work within consultancy, development, and investment companies, or within government or for charitable organisations.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Aims of the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overarching aim of the programme is to foster:</w:t>
      </w:r>
    </w:p>
    <w:p w:rsidRPr="2030048C" w:rsidP="2030048C">
      <w:pPr>
        <w:pStyle w:val="MsoBodyTextIndent2"/>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2"/>
          <w:szCs w:val="22"/>
          <w:shd w:val="clear" w:color="auto" w:fill="FFFFFF"/>
        </w:rPr>
        <w:t xml:space="preserve">The development of students' </w:t>
      </w:r>
      <w:r w:rsidRPr="2030048C">
        <w:rPr>
          <w:rStyle w:val="normaltextrun"/>
          <w:rFonts w:ascii="Arial" w:hAnsi="Arial" w:cs="Arial"/>
          <w:b/>
          <w:bCs/>
          <w:i/>
          <w:iCs/>
          <w:color w:val="000000" w:themeColor="text1"/>
          <w:sz w:val="22"/>
          <w:szCs w:val="22"/>
          <w:shd w:val="clear" w:color="auto" w:fill="FFFFFF"/>
        </w:rPr>
        <w:t xml:space="preserve"> professional and technical </w:t>
      </w:r>
      <w:r w:rsidRPr="2030048C">
        <w:rPr>
          <w:rStyle w:val="normaltextrun"/>
          <w:rFonts w:ascii="Arial" w:hAnsi="Arial" w:cs="Arial"/>
          <w:b/>
          <w:bCs/>
          <w:i/>
          <w:iCs/>
          <w:color w:val="000000" w:themeColor="text1"/>
          <w:sz w:val="22"/>
          <w:szCs w:val="22"/>
          <w:shd w:val="clear" w:color="auto" w:fill="FFFFFF"/>
        </w:rPr>
        <w:t>knowledge and skills within the study of quantity surveying;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rsidRPr="2030048C" w:rsidP="2030048C">
      <w:pPr>
        <w:pStyle w:val="MsoBodyTextIndent2"/>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odyTextIndent3"/>
        <w:ind w:left="28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particular aims of the programme are that graduates should have:</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w:t>
      </w:r>
      <w:r w:rsidRPr="2030048C">
        <w:rPr>
          <w:rStyle w:val="normaltextrun"/>
          <w:rFonts w:ascii="Arial" w:hAnsi="Arial" w:cs="Arial"/>
          <w:color w:val="000000" w:themeColor="text1"/>
          <w:sz w:val="22"/>
          <w:szCs w:val="22"/>
          <w:shd w:val="clear" w:color="auto" w:fill="FFFFFF"/>
        </w:rPr>
        <w:t xml:space="preserve">he ability to innovate and solve problems related to </w:t>
      </w:r>
      <w:r w:rsidRPr="2030048C">
        <w:rPr>
          <w:rStyle w:val="normaltextrun"/>
          <w:rFonts w:ascii="Arial" w:hAnsi="Arial" w:cs="Arial"/>
          <w:color w:val="000000" w:themeColor="text1"/>
          <w:sz w:val="22"/>
          <w:szCs w:val="22"/>
          <w:shd w:val="clear" w:color="auto" w:fill="FFFFFF"/>
        </w:rPr>
        <w:t>Quantity Surveying</w:t>
      </w:r>
      <w:r w:rsidRPr="2030048C">
        <w:rPr>
          <w:rStyle w:val="normaltextrun"/>
          <w:rFonts w:ascii="Arial" w:hAnsi="Arial" w:cs="Arial"/>
          <w:color w:val="000000" w:themeColor="text1"/>
          <w:sz w:val="22"/>
          <w:szCs w:val="22"/>
          <w:shd w:val="clear" w:color="auto" w:fill="FFFFFF"/>
        </w:rPr>
        <w: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understanding, knowledge and skills to become, after appropriate further practical experience, competent practitioners of quantity surveying;</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Knowledge and understanding of building design, construction and services, using computer/ information technology as appropriate.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The ability to advise critically, visually, orally and in writing in relation to design proposals relating to building performance, planning and feasibility considerations;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A critical appreciation of social, economic and environmental factors affecting construction and an introductory knowledge of economic principles and their application to both the construction industry and beyond.</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Knowledge, skill and understanding of the principles of the built environment within a business perspective;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Knowledge and deep understanding of the procurement process and be able to take their place within the decision-making team handling building contracts.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Developed a critical knowledge of the theory and practice of estimating, cost planning and pricing taking due account of all risks including environmental considerations.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A sound working knowledge of existing and emerging measurement techniques including the ability to measure complex structures; and the role of IT in its delivery and management, and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Research skills that are sufficiently developed so that students are prepared for Masters’ level work.</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well-attuned knowledge and holistic understanding of sustainability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triple bottom line sustainability and apply these principles to all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Compile pricing and tender documents and quantify risk with commercial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sound working knowledge of existing and emerging measurement techniques including the ability to measure complex structures; and the role of IT in its delivery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judgement based on appropriate evidence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and draw forms of construction commonly used in commercial and residential development and diagnose common building defects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knowledge of the theory and practice of estimating, cost planning and pricing; the role of risk and sustainability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to assist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law relating to the land, to contracts, to tortious liability, to dispute resolution, to the construction process and to matters pertaining to their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 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standard industry software packages for estimating, measurement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sound understanding  of professional issues affecting the construction technology of residential/commercial structures,  procurement, cost estimating/control and the construction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with imagination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estimates, cost plans, cost reports and development appraisals. Carry out life cycle costing exercises.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role of Quantity Surveying in relation to delivering professional services to the Client and the need to understand client objectives and organisational strategy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case for presentation at a professional scenario such as a professional dispute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This programme is offered in full-time and part-time modes, and leads to the award of BSc (Hons) Quantity Surveying Consultancy.  Entry is at level 6 with HND level or equivalent qualifications (See section C).  Transfer from a similar programme is possible at level 6 with passes in comparable level 4 &amp; 5 modules – but is at the discretion of the course team.  Intakes are normally in January and in September.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7"/>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Professional and Statutory Regulatory Bodies</w:t>
      </w:r>
    </w:p>
    <w:p w:rsidRPr="2030048C" w:rsidP="2030048C">
      <w:pPr>
        <w:ind w:left="855"/>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course does not have official professional accreditation</w:t>
      </w:r>
    </w:p>
    <w:p w:rsidRPr="2030048C" w:rsidP="2030048C">
      <w:pPr>
        <w:ind w:left="42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8"/>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Work-based learning, including sandwich programmes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Not applicable</w:t>
      </w:r>
    </w:p>
    <w:p w:rsidRPr="2030048C" w:rsidP="2030048C">
      <w:pPr>
        <w:ind w:left="72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9"/>
        </w:numPr>
        <w:ind w:left="720" w:hanging="360"/>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Outline Programme Structure</w:t>
      </w:r>
    </w:p>
    <w:p w:rsidRPr="2030048C" w:rsidP="2030048C">
      <w:pPr>
        <w:ind w:left="114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Level 6 is made up of four modules each worth 30 credit points.  A student must complete all 120 credits.  All students will be provided with the University Undergraduate Regulations and specific policies. Full details of each module will be provided in module descriptors and student module guides.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 top-up Distance Learning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 top-up Distance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CE6102D</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CE6014E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CE6014D</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CE6105D</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CE6106D</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i/>
          <w:iCs/>
          <w:sz w:val="22"/>
          <w:szCs w:val="22"/>
        </w:rPr>
        <w:t>Overarching Principles</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This Course is part of 3-year BSc (Hons) Quantity Surveying Consultancy programme delivered at Kingston and has been designed taking into account the Kingston University Curriculum Design Principles to help develop student learning from dependent to independent learning and encourage lifelong learners. A wide range of teaching and learning methods is utilised, allowing students to be fully engaged throughout the course. 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p>
    <w:p w:rsidRPr="2030048C" w:rsidP="2030048C">
      <w:pPr>
        <w:jc w:val="both"/>
        <w:rPr>
          <w:rFonts w:ascii="Arial" w:eastAsia="Arial" w:hAnsi="Arial" w:cs="Arial"/>
          <w:sz w:val="24"/>
          <w:szCs w:val="24"/>
        </w:rPr>
      </w:pPr>
      <w:r w:rsidRPr="2030048C">
        <w:rPr>
          <w:rFonts w:ascii="Arial" w:eastAsia="Arial" w:hAnsi="Arial" w:cs="Arial"/>
          <w:sz w:val="22"/>
          <w:szCs w:val="22"/>
        </w:rPr>
        <w:t>This programme is designed with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2030048C">
        <w:rPr>
          <w:rFonts w:ascii="Arial" w:eastAsia="Arial" w:hAnsi="Arial" w:cs="Arial"/>
          <w:sz w:val="22"/>
          <w:szCs w:val="22"/>
        </w:rPr>
        <w:t xml:space="preserve"> The student should, as far as practicable, be empowered to take control of their learning but be supported strongly through the process. It follows that as the student progresses through the levels the emphasis will be from lecturer-led to student-led work though lectures will feature throughout the programme.  In delivering on this principle, much of the teaching related to knowledge and understanding will be focused on simulated real-life study and projects in which students will be led through the materials and required to develop their skills through the tasks set. </w:t>
      </w:r>
      <w:r w:rsidRPr="2030048C">
        <w:rPr>
          <w:rFonts w:ascii="Arial" w:eastAsia="Arial" w:hAnsi="Arial" w:cs="Arial"/>
          <w:sz w:val="22"/>
          <w:szCs w:val="22"/>
        </w:rPr>
        <w:t xml:space="preserve">Field trips and site visit videos are provided given they provide key components of the strategy and support sessions aimed at skills development are an important part of the delivery strategy.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2"/>
          <w:szCs w:val="22"/>
        </w:rPr>
        <w:t>Teaching &amp; Learning: Developing Knowledge and Skills through a Range of Means including the Capstone Projects</w:t>
      </w:r>
    </w:p>
    <w:p w:rsidRPr="2030048C" w:rsidP="2030048C">
      <w:pPr>
        <w:jc w:val="both"/>
        <w:rPr>
          <w:rFonts w:ascii="Arial" w:eastAsia="Arial" w:hAnsi="Arial" w:cs="Arial"/>
          <w:sz w:val="24"/>
          <w:szCs w:val="24"/>
        </w:rPr>
      </w:pPr>
      <w:r w:rsidRPr="2030048C">
        <w:rPr>
          <w:rFonts w:ascii="Arial" w:eastAsia="Arial" w:hAnsi="Arial" w:cs="Arial"/>
          <w:i/>
          <w:iCs/>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A solid and comprehensive professional and technical knowledge base is non-negotiable and is delivered through the following as deep knowledge acquisition lies at the heart of our programmes.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a week-by-week study planner, providing a stepwise guide through your learning journey,</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 xml:space="preserve">course materials such as pre-recorded videos, reading, recordings and self-reflection activities, </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on-line module forums for discussions and collaborative activities with others,</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a tutor booking system, online tutorial rooms and your personal tutor’s contact information.</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online proctored exams guidelines will also be provided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It is considered important that student learning is regularly monitored and as an innovation, and also within a system of Tutorial/interactive week sessions. Tutorials to provide opportunities to ensure student learning progress and to reinforce key principles already taught.</w:t>
      </w:r>
      <w:r w:rsidRPr="2030048C">
        <w:rPr>
          <w:rFonts w:ascii="Arial" w:eastAsia="Arial" w:hAnsi="Arial" w:cs="Arial"/>
          <w:sz w:val="22"/>
          <w:szCs w:val="22"/>
        </w:rPr>
        <w:t xml:space="preserve"> These tutorial sessions will have intense small group and individual sessions to provide both’ feedforward’ on tasks set and feedback on tasks already assessed. These weeks will also be used to support students and check their overall progress.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Online version of course materials are used to impart key information and will normally be multiple video lessons of 10-15 minutes duration each together with quizzes and activities, followed up by seminars.  Extensive use is made by teaching staff of e-learning via ESOFT’s LMS (ELMS), our on-line learning environment. Teaching materials are loaded up in advance giving students the opportunity to learn at a comfortable pace.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software packages.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Developing skills is also critical to successful vocational education. These skills are practical – such as the ability to design and draw building details both free hand and with the use of software.  Students will also have skills in Excel and will have developing skills in project management software and in Building Information Modelling; they will also learn to access research databases efficiently. They will develop professional skills - such as how to write and present reports on strategic advice in relation to procuring building contract and the cost planning of projects -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and through group-based activities which develop team working skills and respect for colleagues which are critical dimensions of professional practice.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Skills development takes place in all modules, but it is specifically addressed through project based work which takes place extensively and is a critically important learning methodology. A virtual field trip has been introduced within Module CE6102 in which students will undertake a complex task relating to a client brief, prepare costings including financial appraisals and possibly whole life cost analysis. This task will synthesise knowledge of law and regulation, construction, procurement and project management skills and it will act as another ‘capstone’ project opportunity, taking place at the end of the whole programme.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last element of the capstone project work is via the individual research project, which is student selected in terms of topic and methodology and students are encouraged to use their creative and imaginative powers to design projects which have real applicability in the industry, and which enable them to draw down on all their skills as well as knowledge base. All are strongly encouraged to integrate empirical investigations, thus demonstrating research and inter-personal and analytical skills.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We recognise that many students find research work daunting, so they are prepared over the entire programme for the Major Level 6 individual project. Most modules contain the need to research material using web and library resources and through extensive use of professional body material.  However, survey work in the form of questionnaires and interviews are introduced in some modules and are important elements of the field trip briefs. Academic writing skills are developed through writing essays, reflective diaries and professional reports which are required in most modules. These provide a learning vehicle prior to the requirement to undertake a major project at Level 6.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i/>
          <w:iCs/>
          <w:sz w:val="22"/>
          <w:szCs w:val="22"/>
        </w:rPr>
        <w:t>Assessment</w:t>
      </w:r>
    </w:p>
    <w:p w:rsidRPr="2030048C" w:rsidP="2030048C">
      <w:pPr>
        <w:jc w:val="both"/>
        <w:rPr>
          <w:rFonts w:ascii="Arial" w:eastAsia="Arial" w:hAnsi="Arial" w:cs="Arial"/>
          <w:sz w:val="24"/>
          <w:szCs w:val="24"/>
        </w:rPr>
      </w:pPr>
      <w:r w:rsidRPr="2030048C">
        <w:rPr>
          <w:rFonts w:ascii="Arial" w:eastAsia="Arial" w:hAnsi="Arial" w:cs="Arial"/>
          <w:sz w:val="22"/>
          <w:szCs w:val="22"/>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Self-administered tests run through the ELMS (our online learning environment);</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 xml:space="preserve">Draft submissions for comment (for example of the Research Journal, trade articles).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 xml:space="preserve">On-line discussion groups monitored by staff;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 xml:space="preserve">on-line quizzes to test recently covered lecture material;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 xml:space="preserve">Formal ‘client meetings’ in which notes are made and feedback given; and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The preparation of portfolios based on weekly seminar work, where only the final portfolio is assessed summatively.</w:t>
      </w:r>
    </w:p>
    <w:p w:rsidRPr="2030048C" w:rsidP="2030048C">
      <w:pPr>
        <w:ind w:left="78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Summative feedback takes a wide range of forms, some of which have been outlined under the teaching and learning section above and all of which are detailed in the Module Descriptors.  Whilst we hold that proctored examinations do have a role to play in testing knowledge and critical reasoning, there are other methods which have possibly greater applicability to the work that graduates will subsequently undertake. All exams take place remotely, and you will complete them at home or at an alternative location, week for the exam date will be given within the academic calendar to be issued at the induction. Online proctored exams guidelines will be provided.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Therefore, a policy has been adopted to ensure that, as far as possible, emphasis is placed on developing simulated and real world experiences. Students undertake traditional academic tasks such as essays, but a range of academic skills is also tested in more innovative ways in various modules as stated above.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Each module is designed to test up to six learning outcomes; therefore in each module a range of assessment is undertaken with up to three formal summative points, spread throughout the year to better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In designing the amount of assessment to be undertaken in each module the principle has been taken that: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both"/>
        <w:rPr>
          <w:rFonts w:ascii="Arial" w:eastAsia="Arial" w:hAnsi="Arial" w:cs="Arial"/>
          <w:sz w:val="24"/>
          <w:szCs w:val="24"/>
        </w:rPr>
      </w:pPr>
      <w:r w:rsidRPr="2030048C">
        <w:rPr>
          <w:rFonts w:ascii="Arial" w:eastAsia="Arial" w:hAnsi="Arial" w:cs="Arial"/>
          <w:sz w:val="22"/>
          <w:szCs w:val="22"/>
        </w:rPr>
        <w:t>At level 6 each module (with the exception of Research Project) will have the equivalent of no more than 12,000 words.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Feedback to students on summative assessment is vitally important.  This is delivered through a number of means such as formal written individual feedback which contains pointers for future improvement; class collective feedback; issuing of model answers, individual feedback on work submitted on-line etc.  The method used will vary depending on the task that was undertaken but staff realise the need for it to be timely and supportive.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Students are supported by; </w:t>
      </w:r>
    </w:p>
    <w:p w:rsidRPr="2030048C" w:rsidP="2030048C">
      <w:pPr>
        <w:numPr>
          <w:ilvl w:val="0"/>
          <w:numId w:val="23"/>
        </w:numPr>
        <w:ind w:left="720" w:hanging="360"/>
        <w:jc w:val="left"/>
        <w:rPr>
          <w:rFonts w:ascii="Arial" w:eastAsia="Arial" w:hAnsi="Arial" w:cs="Arial"/>
          <w:sz w:val="24"/>
          <w:szCs w:val="24"/>
        </w:rPr>
      </w:pP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A Module Leader for each module who gives ‘front line’ support on technical matters relating to the subject material through the tutorial sessions.</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A Course Leader who can give support to help students understand the context of their discipline and the programme structure.</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 xml:space="preserve">Online help-centre, which had general information about dedicated administration support, along with study skills advice to respond quickly to administrative queries you may have. </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IT and computing support from ESOFT Computing Helpdesk</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Student Voice Committees with student Course representatives, and</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Mid-point and end of year student evaluations to ensure that modules continue to best service student learning needs.</w:t>
      </w:r>
    </w:p>
    <w:p w:rsidRPr="2030048C" w:rsidP="2030048C">
      <w:pPr>
        <w:numPr>
          <w:ilvl w:val="1"/>
          <w:numId w:val="23"/>
        </w:numPr>
        <w:ind w:left="1440" w:hanging="360"/>
        <w:jc w:val="both"/>
        <w:rPr>
          <w:rFonts w:ascii="Arial" w:eastAsia="Arial" w:hAnsi="Arial" w:cs="Arial"/>
          <w:sz w:val="24"/>
          <w:szCs w:val="24"/>
        </w:rPr>
      </w:pPr>
      <w:r w:rsidRPr="2030048C">
        <w:rPr>
          <w:rFonts w:ascii="Arial" w:eastAsia="Arial" w:hAnsi="Arial" w:cs="Arial"/>
          <w:sz w:val="22"/>
          <w:szCs w:val="22"/>
        </w:rPr>
        <w:t>Tutorial and Academic Support system that is comprehensive and tailored to student needs.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Each student is provided with a named member of academic staff in induction week. The teaching blocks have been structured to ensure regular on-line discussions.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Students will keep the same tutor throughout their course of study, unless change is required due to circumstances beyond our control.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An induction programme and study skills sessions at the start of every academic year to ensure that students are aware of the expectations we have of them as they move through the programme.</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2"/>
          <w:szCs w:val="22"/>
        </w:rPr>
        <w:t>There are several methods for evaluating and improving the quality and standards of its provision.  These include:</w:t>
      </w:r>
    </w:p>
    <w:p w:rsidR="3D0EBCB8" w:rsidRPr="2030048C" w:rsidP="2030048C">
      <w:pPr>
        <w:numPr>
          <w:ilvl w:val="0"/>
          <w:numId w:val="24"/>
        </w:numPr>
        <w:ind w:left="720" w:hanging="360"/>
        <w:jc w:val="left"/>
        <w:rPr>
          <w:rFonts w:ascii="Arial" w:eastAsia="Arial" w:hAnsi="Arial" w:cs="Arial"/>
          <w:sz w:val="24"/>
          <w:szCs w:val="24"/>
        </w:rPr>
      </w:pP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Periodic review undertaken at the subject level</w:t>
      </w: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1"/>
          <w:numId w:val="24"/>
        </w:numPr>
        <w:ind w:left="1440" w:hanging="360"/>
        <w:jc w:val="both"/>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jc w:val="both"/>
        <w:rPr>
          <w:rFonts w:ascii="Arial" w:eastAsia="Arial" w:hAnsi="Arial" w:cs="Arial"/>
          <w:sz w:val="24"/>
          <w:szCs w:val="24"/>
        </w:rPr>
      </w:pPr>
      <w:r w:rsidRPr="2030048C">
        <w:rPr>
          <w:rFonts w:ascii="Arial" w:eastAsia="Arial" w:hAnsi="Arial" w:cs="Arial"/>
          <w:sz w:val="22"/>
          <w:szCs w:val="22"/>
        </w:rPr>
        <w:t>Subject benchmark</w:t>
      </w:r>
    </w:p>
    <w:p w:rsidRPr="2030048C" w:rsidP="2030048C">
      <w:pPr>
        <w:jc w:val="both"/>
        <w:rPr>
          <w:rFonts w:ascii="Arial" w:eastAsia="Arial" w:hAnsi="Arial" w:cs="Arial"/>
          <w:sz w:val="24"/>
          <w:szCs w:val="24"/>
        </w:rPr>
      </w:pPr>
      <w:hyperlink r:id="rId11" w:history="1">
        <w:r w:rsidRPr="2030048C">
          <w:rPr>
            <w:rFonts w:ascii="Arial" w:eastAsia="Arial" w:hAnsi="Arial" w:cs="Arial"/>
            <w:sz w:val="22"/>
            <w:szCs w:val="22"/>
          </w:rPr>
          <w:t>http://www.qaa.ac.uk/docs/qaa/subject-benchmark-statements/sbs-land-construction-real-estate-and-surveying-16.pdf?sfvrsn=4998f781_10</w:t>
        </w:r>
      </w:hyperlink>
    </w:p>
    <w:p w:rsidRPr="2030048C" w:rsidP="2030048C">
      <w:pPr>
        <w:jc w:val="both"/>
        <w:rPr>
          <w:rFonts w:ascii="Arial" w:eastAsia="Arial" w:hAnsi="Arial" w:cs="Arial"/>
          <w:sz w:val="24"/>
          <w:szCs w:val="24"/>
        </w:rPr>
      </w:pPr>
      <w:r w:rsidRPr="2030048C">
        <w:rPr>
          <w:rFonts w:ascii="Arial" w:eastAsia="Arial" w:hAnsi="Arial" w:cs="Arial"/>
          <w:sz w:val="22"/>
          <w:szCs w:val="22"/>
        </w:rPr>
        <w:t>Professional Body:</w:t>
      </w:r>
    </w:p>
    <w:p w:rsidRPr="2030048C" w:rsidP="2030048C">
      <w:pPr>
        <w:jc w:val="both"/>
        <w:rPr>
          <w:rFonts w:ascii="Arial" w:eastAsia="Arial" w:hAnsi="Arial" w:cs="Arial"/>
          <w:sz w:val="24"/>
          <w:szCs w:val="24"/>
        </w:rPr>
      </w:pPr>
      <w:hyperlink r:id="rId12" w:history="1">
        <w:r w:rsidRPr="2030048C">
          <w:rPr>
            <w:rFonts w:ascii="Arial" w:eastAsia="Arial" w:hAnsi="Arial" w:cs="Arial"/>
            <w:sz w:val="22"/>
            <w:szCs w:val="22"/>
          </w:rPr>
          <w:t>www.rics.org</w:t>
        </w:r>
      </w:hyperlink>
    </w:p>
    <w:p w:rsidRPr="2030048C" w:rsidP="2030048C">
      <w:pPr>
        <w:jc w:val="both"/>
        <w:rPr>
          <w:rFonts w:ascii="Arial" w:eastAsia="Arial" w:hAnsi="Arial" w:cs="Arial"/>
          <w:sz w:val="24"/>
          <w:szCs w:val="24"/>
        </w:rPr>
      </w:pPr>
      <w:hyperlink r:id="rId13" w:history="1">
        <w:r w:rsidRPr="2030048C">
          <w:rPr>
            <w:rFonts w:ascii="Arial" w:eastAsia="Arial" w:hAnsi="Arial" w:cs="Arial"/>
            <w:sz w:val="22"/>
            <w:szCs w:val="22"/>
          </w:rPr>
          <w:t>www.ciob.org</w:t>
        </w:r>
      </w:hyperlink>
    </w:p>
    <w:p w:rsidRPr="2030048C" w:rsidP="2030048C">
      <w:pPr>
        <w:jc w:val="both"/>
        <w:rPr>
          <w:rFonts w:ascii="Arial" w:eastAsia="Arial" w:hAnsi="Arial" w:cs="Arial"/>
          <w:sz w:val="24"/>
          <w:szCs w:val="24"/>
        </w:rPr>
      </w:pPr>
      <w:r w:rsidRPr="2030048C">
        <w:rPr>
          <w:rFonts w:ascii="Arial" w:eastAsia="Arial" w:hAnsi="Arial" w:cs="Arial"/>
          <w:sz w:val="22"/>
          <w:szCs w:val="22"/>
        </w:rPr>
        <w:t>School website</w:t>
      </w:r>
    </w:p>
    <w:p w:rsidRPr="2030048C" w:rsidP="2030048C">
      <w:pPr>
        <w:rPr>
          <w:rFonts w:ascii="Arial" w:eastAsia="Arial" w:hAnsi="Arial" w:cs="Arial"/>
          <w:sz w:val="24"/>
          <w:szCs w:val="24"/>
        </w:rPr>
      </w:pPr>
      <w:hyperlink r:id="rId14" w:history="1">
        <w:r w:rsidRPr="2030048C">
          <w:rPr>
            <w:rFonts w:ascii="Arial" w:eastAsia="Arial" w:hAnsi="Arial" w:cs="Arial"/>
            <w:sz w:val="22"/>
            <w:szCs w:val="22"/>
          </w:rPr>
          <w:t>https://www.kingston.ac.uk/faculties/science-engineering-and-computing/about/schools/engineering/</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049"/>
        <w:gridCol w:w="367"/>
        <w:gridCol w:w="1101"/>
        <w:gridCol w:w="1101"/>
        <w:gridCol w:w="1087"/>
        <w:gridCol w:w="1101"/>
        <w:gridCol w:w="110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CE6106D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CE6102D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CE6014E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CE6105D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CE6014D</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MsoBodyText3">
    <w:name w:val="MsoBodyText3"/>
    <w:basedOn w:val="Normal"/>
  </w:style>
  <w:style w:type="paragraph" w:customStyle="1" w:styleId="p">
    <w:name w:val="p"/>
    <w:basedOn w:val="Normal"/>
  </w:style>
  <w:style w:type="paragraph" w:customStyle="1" w:styleId="MsoBodyTextIndent2">
    <w:name w:val="MsoBodyTextIndent2"/>
    <w:basedOn w:val="ListParagraph"/>
  </w:style>
  <w:style w:type="paragraph" w:customStyle="1" w:styleId="MsoBodyTextIndent3">
    <w:name w:val="MsoBodyTextIndent3"/>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ob.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rics.org"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docs/qaa/subject-benchmark-statements/sbs-land-construction-real-estate-and-surveying-16.pdf?sfvrsn=4998f781_10"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kingston.ac.uk/faculties/science-engineering-and-computing/about/schools/engineering/"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DB9E862-3E28-4E5A-AC06-56E5899C30A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