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Multimedia Technology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 Metro Campus, Sri Lanka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Multimedia Technology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Multimedia Technology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Multimedia Technology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Multimedia Technology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UFDMT1DMT21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Sri Lanka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ESU Colombo and ESU Kandy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Three Passes in one sitting at one of the following examinations or equivalent foreign qualifications</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the Department of Examinations, Sri Lanka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(A/L) – conducted by Pearson Edexcel, UK (London A/L)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International (A/L) IGCSE’s – conducted by Pearson Edexcel, UK </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 E. (A/L) – conducted by Cambridge International Examinations, UK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International Foundation Diploma.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skills and confidence required to create professional-standard digital interactive media and graphic products.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intellectually adaptable graduates who appreciate scientific, computational, technological, and creative design approaches, and who are open to innovation and change.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integrate knowledge from computing, technology, and the arts to solve real-world challenges in digital media.</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advanced communication skills—oral, visual, and written—as well as strong capabilities in problem-solving, planning, and teamwork.</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solid foundation in best practices for developing 2D and 3D digital assets and implementing them in interactive applications.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with the ability and motivation to pursue advanced studies, research, or development within multimedia technology and related fields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 xml:space="preserve"> 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plan a creative development task relevant to an application in industry that exploits new media/computing technology, to a high level of technical competence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 xml:space="preserve"> 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a creative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digital 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develop interactive computing and multimedia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digital 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and test a creative computer based project to agreed criteria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right="285"/>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1"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Multimedia Technology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Multimedia Technology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Computer Generated Imagery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Digital Media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Multimedia Technology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Motion Graphics and Compositing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Modelling and Animation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Multimedia Authoring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 xml:space="preserve"> 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Multimedia Technology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ESU</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Game and Media Production and Generative AI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right="285"/>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210" w:right="285"/>
        <w:rPr>
          <w:rFonts w:ascii="Arial" w:eastAsia="Arial" w:hAnsi="Arial" w:cs="Arial"/>
          <w:sz w:val="24"/>
          <w:szCs w:val="24"/>
        </w:rPr>
      </w:pPr>
      <w:r w:rsidRPr="2030048C">
        <w:rPr>
          <w:rFonts w:ascii="Arial" w:eastAsia="Arial" w:hAnsi="Arial" w:cs="Arial"/>
          <w:sz w:val="24"/>
          <w:szCs w:val="24"/>
        </w:rPr>
        <w:t> </w:t>
      </w:r>
    </w:p>
    <w:p w:rsidRPr="2030048C" w:rsidP="2030048C">
      <w:pPr>
        <w:ind w:right="285"/>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ind w:right="285"/>
        <w:rPr>
          <w:rFonts w:ascii="Arial" w:eastAsia="Arial" w:hAnsi="Arial" w:cs="Arial"/>
          <w:sz w:val="24"/>
          <w:szCs w:val="24"/>
        </w:rPr>
      </w:pPr>
      <w:r w:rsidRPr="2030048C">
        <w:rPr>
          <w:rFonts w:ascii="Arial" w:eastAsia="Arial" w:hAnsi="Arial" w:cs="Arial"/>
          <w:sz w:val="24"/>
          <w:szCs w:val="24"/>
        </w:rPr>
        <w:t> </w:t>
      </w:r>
    </w:p>
    <w:p w:rsidRPr="2030048C" w:rsidP="2030048C">
      <w:pPr>
        <w:ind w:right="285"/>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ind w:right="285"/>
        <w:rPr>
          <w:rFonts w:ascii="Arial" w:eastAsia="Arial" w:hAnsi="Arial" w:cs="Arial"/>
          <w:sz w:val="24"/>
          <w:szCs w:val="24"/>
        </w:rPr>
      </w:pPr>
      <w:r w:rsidRPr="2030048C">
        <w:rPr>
          <w:rFonts w:ascii="Arial" w:eastAsia="Arial" w:hAnsi="Arial" w:cs="Arial"/>
          <w:sz w:val="24"/>
          <w:szCs w:val="24"/>
        </w:rPr>
        <w:t> </w:t>
      </w:r>
    </w:p>
    <w:p w:rsidRPr="2030048C" w:rsidP="2030048C">
      <w:pPr>
        <w:ind w:right="285"/>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ind w:right="285"/>
        <w:rPr>
          <w:rFonts w:ascii="Arial" w:eastAsia="Arial" w:hAnsi="Arial" w:cs="Arial"/>
          <w:sz w:val="24"/>
          <w:szCs w:val="24"/>
        </w:rPr>
      </w:pPr>
      <w:r w:rsidRPr="2030048C">
        <w:rPr>
          <w:rFonts w:ascii="Arial" w:eastAsia="Arial" w:hAnsi="Arial" w:cs="Arial"/>
          <w:sz w:val="24"/>
          <w:szCs w:val="24"/>
        </w:rPr>
        <w:t> </w:t>
      </w:r>
    </w:p>
    <w:p w:rsidRPr="2030048C" w:rsidP="2030048C">
      <w:pPr>
        <w:ind w:right="285"/>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EMLS– EMC's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ESOFT Student Council (ESC)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The students are introduced to all these mechanisms during induction sessions at the beginning of each new academic year. It is here that the level 4 students first encounter the Campus’ computer network, which includes their personal access to the ELMS and how to use it as a learning environment.</w:t>
      </w:r>
    </w:p>
    <w:p w:rsidRPr="2030048C" w:rsidP="2030048C">
      <w:pPr>
        <w:rPr>
          <w:rFonts w:ascii="Arial" w:eastAsia="Arial" w:hAnsi="Arial" w:cs="Arial"/>
          <w:sz w:val="24"/>
          <w:szCs w:val="24"/>
        </w:rPr>
      </w:pPr>
      <w:r w:rsidRPr="2030048C">
        <w:rPr>
          <w:rFonts w:ascii="Arial" w:eastAsia="Arial" w:hAnsi="Arial" w:cs="Arial"/>
          <w:sz w:val="24"/>
          <w:szCs w:val="24"/>
        </w:rPr>
        <w:t>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meetings including SVC as well as by their formal and informal feedback such as end-of-module reviews.</w:t>
      </w:r>
    </w:p>
    <w:p w:rsidRPr="2030048C" w:rsidP="2030048C">
      <w:pPr>
        <w:rPr>
          <w:rFonts w:ascii="Arial" w:eastAsia="Arial" w:hAnsi="Arial" w:cs="Arial"/>
          <w:sz w:val="24"/>
          <w:szCs w:val="24"/>
        </w:rPr>
      </w:pPr>
      <w:r w:rsidRPr="2030048C">
        <w:rPr>
          <w:rFonts w:ascii="Arial" w:eastAsia="Arial" w:hAnsi="Arial" w:cs="Arial"/>
          <w:sz w:val="24"/>
          <w:szCs w:val="24"/>
        </w:rPr>
        <w:t>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 </w:t>
      </w:r>
      <w:r w:rsidRPr="2030048C">
        <w:rPr>
          <w:rFonts w:ascii="Arial" w:eastAsia="Arial" w:hAnsi="Arial" w:cs="Arial"/>
          <w:color w:val="000000"/>
          <w:sz w:val="24"/>
          <w:szCs w:val="24"/>
          <w:lang w:val="en-US" w:eastAsia="en-US"/>
        </w:rPr>
        <w:t>http://www.bcs.org</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 </w:t>
      </w:r>
      <w:hyperlink r:id="rId12" w:history="1">
        <w:r w:rsidRPr="2030048C">
          <w:rPr>
            <w:rFonts w:ascii="Arial" w:eastAsia="Arial" w:hAnsi="Arial" w:cs="Arial"/>
            <w:color w:val="000000"/>
            <w:sz w:val="24"/>
            <w:szCs w:val="24"/>
          </w:rPr>
          <w:t>https://www.qaa.ac.uk/docs/qaa/sbs/sbs-computing-22.pdf</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02"/>
        <w:gridCol w:w="273"/>
        <w:gridCol w:w="620"/>
        <w:gridCol w:w="620"/>
        <w:gridCol w:w="620"/>
        <w:gridCol w:w="618"/>
        <w:gridCol w:w="2"/>
        <w:gridCol w:w="620"/>
        <w:gridCol w:w="620"/>
        <w:gridCol w:w="620"/>
        <w:gridCol w:w="616"/>
        <w:gridCol w:w="4"/>
        <w:gridCol w:w="620"/>
        <w:gridCol w:w="620"/>
        <w:gridCol w:w="620"/>
        <w:gridCol w:w="6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341B1FF-6524-459B-870C-E263F676880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