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Cyber Security and Digital Forensics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16/02/2026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03/10/2025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01/01/2027</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Educare Global Academy, Singapore</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Security and Digital Forensics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Cyber Security and Digital Forensics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Cyber Security and Digital Forensics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CertHE Cyber Security and Digital Forensics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UFCSD1CSD21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 as delivered by partner</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Singapore</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Educare Global Academy Campuses - Singapore, China Town campus, Mountbatten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should normally meet one of the following requirements: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GCE Advanced Level (A-Level) qualifications with three passes obtained in one sitting, awarded by:</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Singapore-Cambridge GCE A-Level (SEAB/Cambridge); or</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Cambridge International A-Levels; or</w:t>
            </w:r>
          </w:p>
          <w:p w:rsidRPr="2030048C" w:rsidP="2030048C">
            <w:pPr>
              <w:numPr>
                <w:ilvl w:val="1"/>
                <w:numId w:val="12"/>
              </w:numPr>
              <w:ind w:left="144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Pearson Edexcel International A-Levels; or</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recognised Foundation Diploma or Foundation Programme in a relevant discipline, awarded by an approved institution; or</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Equivalent foreign qualifications at a comparable level, assessed on a case-by-case basis.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with relevant work experience and/or professional qualifications may also be considered where these are deemed equivalent to the standard entry requirements.</w:t>
            </w:r>
          </w:p>
          <w:p w:rsidRPr="2030048C" w:rsidP="2030048C">
            <w:pPr>
              <w:pStyle w:val="Heading3"/>
              <w:outlineLvl w:val="2"/>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whose first language is not English must demonstrate English language proficiency, normally evidenced by one of the following (or an approved equivalent):</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IELTS overall score of 6.0, with no component below 5.5; or</w:t>
            </w:r>
          </w:p>
          <w:p w:rsidRPr="2030048C" w:rsidP="2030048C">
            <w:pPr>
              <w:numPr>
                <w:ilvl w:val="0"/>
                <w:numId w:val="13"/>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TOEFL iBT overall score of 80 (Reading 20, Listening 19, Speaking 21, Writing 20).</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Alternative English language qualifications, including recognised secondary-level English passes, may be accepted subject to approval.</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Non-accredited programme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programme is to produce highly trained graduates with specialist technical knowledge and scientific mind set, capable of solving real world problems, are driven by passion, sustainability and wider socio-technical implications are considered at all levels. As part of Kingston University’s Future Skills programme, this course also equips students with essential skills such as critical thinking, problem-solving, adaptability, and digital literacy. These future-focused skills ensure graduates are prepared for the evolving demands of the tech industry and can thrive in a rapidly changing professional landscape.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thorough understanding of the structure and operation of computer systems and networks, and an awareness of ways in which computers are applied to software engineering problems and data management;</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understanding of the varieties and impact of cyber-crime and how digital devices may be used to aid criminal activities;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knowledge of the legal system, legal processes, relevant laws and the regulatory environment related to the handling of digital evidence and forensic investigations;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undertake digital forensic examinations, to support or oppose an investigative case;</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knowledge and skills to select and employ appropriate software for use in forensic investigations;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handle information, collect digital evidence, apply evidence management strategies, present evidence and conclusions;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an adequate foundation to enable them to appreciate and absorb future developments in computer and network security; and to communicate with others within and across discipline boundaries regarding the design and implementation of solutions and techniques;</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range of transferable skills including working in teams, time-management, research, writing (user documentation, reports, handouts) and oral presentation of findings.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operation of the components of a computing system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knowledge, skills and attitudes developed during the course to practice within the profession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collect, analyse, organise and validate digital evidence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planning of a computer investigation, using various acquisition tools and interpret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analyse critically and synthesise knowledge from texts and technical documentation, from people, and from observation of and participation in activities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applicable to key stages of digital forensics processes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computing as a technology employed by society, relates to and interacts with other technologies, and an awareness of its current and likely future impact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translate digital forensics requirements into specifications and designs that meet current and future needs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and document results at a level which is appropriate to the computing knowledge of the recipient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design and implementation of computer networks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domain of cyber security, digital forensics and computing more generally, regarding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project management controls and communication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technical ability to search and disseminate information using the various tools of the Internet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effectively with other scientists in specifying system objectives, implementing solutions using appropriate software and evaluating the results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use of commonly used cyber security tools and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and knowledge within an elected cyber security domain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sz w:val="24"/>
          <w:szCs w:val="24"/>
        </w:rPr>
        <w:t>Students can progress from one level to the next with 30 credits trailing but they must pass the failed credits before progressing to the next leve</w:t>
      </w:r>
      <w:r w:rsidRPr="2030048C">
        <w:rPr>
          <w:rFonts w:ascii="Arial" w:eastAsia="Arial" w:hAnsi="Arial" w:cs="Arial"/>
          <w:color w:val="000000" w:themeColor="text1" w:themeShade="FF" w:themeTint="FF"/>
          <w:sz w:val="24"/>
          <w:szCs w:val="24"/>
        </w:rPr>
        <w:t>l.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Professional Environments 1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Professional Environments 2.</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Security and Digital Forensics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Digital Forensics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Computing Fundamentals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Cyber Crime and Digital Forensics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Programming I – Thinking Like a Programmer</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CI4105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Cyber Security and Digital Forensics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Computing Systems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Ethical Hacking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CI5235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Environments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CI5450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User Centered Design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CI5330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Database-Driven Application Development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CI5320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Networking Concepts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CI5210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Security and Digital Forensics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Cryptography and Network Security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 EGA</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Threat Hunting, Analysis and Mitigation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CI6285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Internet Services and Protocols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CI6250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Software Development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CI6125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92"/>
        <w:gridCol w:w="271"/>
        <w:gridCol w:w="615"/>
        <w:gridCol w:w="615"/>
        <w:gridCol w:w="615"/>
        <w:gridCol w:w="614"/>
        <w:gridCol w:w="1"/>
        <w:gridCol w:w="615"/>
        <w:gridCol w:w="615"/>
        <w:gridCol w:w="615"/>
        <w:gridCol w:w="613"/>
        <w:gridCol w:w="2"/>
        <w:gridCol w:w="615"/>
        <w:gridCol w:w="615"/>
        <w:gridCol w:w="683"/>
        <w:gridCol w:w="61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CI4315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CI4250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CI4105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CI5330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CI5235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CI5250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CI5450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CI6285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course has a January, May and September intake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1B7B136-ED26-438F-B310-136404660B2F}"/>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