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15/05/2025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29/01/2026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Polytechnics Mauritius Limited (PML)</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Computer Science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UFCSM1CSM10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Polytechnics Mauritius Limited (PML)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meet one of the following entry qualification requirements:</w:t>
                  </w:r>
                  <w:r w:rsidRPr="2030048C">
                    <w:rPr>
                      <w:rStyle w:val="normaltextrun"/>
                      <w:rFonts w:ascii="Arial" w:eastAsia="Arial" w:hAnsi="Arial" w:cs="Arial"/>
                      <w:b w:val="0"/>
                      <w:bCs w:val="0"/>
                      <w:color w:val="000000"/>
                      <w:sz w:val="22"/>
                      <w:szCs w:val="22"/>
                      <w:shd w:val="clear" w:color="auto" w:fill="FFFFFF"/>
                    </w:rPr>
                    <w:t>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Diploma in Information Technology </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in Information Systems (Business Computing</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Diploma in Emerging Technologies Specialisation in Big Data </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Diploma in Emerging Technologies Specialisation in Internet of Things </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Polytechnics Mauritius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Case by case consideration of equivalent academic and professional qualifications achieved at comparable levels</w:t>
                  </w:r>
                </w:p>
                <w:p w:rsidRPr="2030048C" w:rsidP="2030048C">
                  <w:pPr>
                    <w:ind w:left="57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overall IELTS score of 6.0 with a minimum of 5.5 each element, iBT TOEFL 80 with R at 20, L at 19, S at 21 and W at 20 or equivalent is required for those for whom English is not their first language.  A minimum of a Credit pass at the G.C.E O/L English Language exam will also be considered as equivalent to this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applications  will  be  subject  to  the  Kingston  University  Accreditation  of  Prior </w:t>
                  </w:r>
                  <w:r w:rsidRPr="2030048C">
                    <w:rPr>
                      <w:rStyle w:val="normaltextrun"/>
                      <w:rFonts w:ascii="Arial" w:eastAsia="Arial" w:hAnsi="Arial" w:cs="Arial"/>
                      <w:b w:val="0"/>
                      <w:bCs w:val="0"/>
                      <w:color w:val="000000"/>
                      <w:sz w:val="24"/>
                      <w:szCs w:val="24"/>
                      <w:shd w:val="clear" w:color="auto" w:fill="FFFFFF"/>
                    </w:rPr>
                    <w:t>Learning (APL) rules and regulations applicable at the time of application.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i/>
                <w:iCs/>
                <w:color w:val="000000"/>
                <w:sz w:val="24"/>
                <w:szCs w:val="24"/>
                <w:shd w:val="clear" w:color="auto" w:fill="FFFFFF"/>
              </w:rPr>
              <w:t>Non-accredited programme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of modules:</w:t>
            </w:r>
          </w:p>
          <w:p w:rsidR="5D711985" w:rsidRPr="158602C4" w:rsidP="158602C4">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is permitted in at most 30 credits across the programme, excluding the CI6600 Individual Project module. A module other that CI6600, with a grade of F5 (35-39) can be compensated for a PC grade by at least 90 credits passed at that level.</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CxSpFirs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Computer Science course is to produce highly trained graduates with specialist technical knowledge and scientific mind set, capable of solving real world problems, are driven by passion, sustainability and wider socio-technical implications are considered at all levels.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required knowledge, skills and attitudes to practice as computing professionals in both industry and commerce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equipped to meet the academic, professional and practical requirements for membership of appropriate professional bodies such as the British Computer Society</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possess the appropriate ability and inclination, and are equipped, to undertake advanced studies and/or research and development in the computing and information systems disciplines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inquisitive and reflective attitude when modelling systems and understands the functional and qualitative properties of systems.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evaluate and predict security, performance and efficiency associated system properties and their context dependencies.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 and can articulate the legal, ethical, social, cultural and public aspects of problems and solutions.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acquire new knowledge and skills independently; reflect on trends in the computing domain and their actions are demonstrative of a creative contribution.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 PML</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Internet Services and Protocols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benchmarks</w:t>
        </w:r>
      </w:hyperlink>
    </w:p>
    <w:p w:rsidRPr="2030048C" w:rsidP="2030048C">
      <w:pPr>
        <w:numPr>
          <w:ilvl w:val="0"/>
          <w:numId w:val="18"/>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Other subject or industry standards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29"/>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There are two entry points - September and March.</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ListParagraphCxSpFirst">
    <w:name w:val="ListParagraphCxSpFirs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cs.or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computin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C91AD73-8942-4DBA-8C00-8DD42F53B797}"/>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