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Computer Science and Artificial Intelligence top-up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04/06/2025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29/01/2026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9</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Computer Science</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Polytechnics Mauritius Limited (PML)</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Computer Science and Artificial Intelligence top-up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Computer Science and Artificial Intelligence</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UFCSA1CSA10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Polytechnics Mauritius Limited (PML)</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Polytechnics Mauritius Limited (PML)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tbl>
            <w:tblPr>
              <w:tblStyle w:val="MsoTableGrid"/>
              <w:tblCellSpacing w:w="15" w:type="dxa"/>
              <w:tblCellMar>
                <w:top w:w="15" w:type="dxa"/>
                <w:left w:w="15" w:type="dxa"/>
                <w:bottom w:w="15" w:type="dxa"/>
                <w:right w:w="15" w:type="dxa"/>
              </w:tblCellMar>
              <w:tblLook w:val="05E0"/>
            </w:tblPr>
            <w:tblGrid>
              <w:gridCol w:w="5674"/>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must meet one of the following entry qualification requirements:</w:t>
                  </w:r>
                </w:p>
                <w:p w:rsidRPr="2030048C" w:rsidP="2030048C">
                  <w:pPr>
                    <w:ind w:left="57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Diploma in Emerging Technologies Specialisation in Big Data </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Polytechnics Mauritius</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Diploma in Emerging Technologies Specialisation in Internet of Things </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Polytechnics Mauritius</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Case by case consideration of equivalent academic and professional qualifications achieved at comparable levels.</w:t>
                  </w:r>
                </w:p>
                <w:p w:rsidRPr="2030048C" w:rsidP="2030048C">
                  <w:pPr>
                    <w:ind w:left="57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 minimum overall IELTS score of 6.0 with a minimum of 5.5 each element, iBT TOEFL 80 with R at 20, L at 19, S at 21 and W at 20 or equivalent is required for those for whom English is not their first language.  A minimum of a Credit pass at the G.C.E O/L English Language exam will also be considered as equivalent to this level.</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We will consider a range of alternative qualifications or experience that is equivalent to the typical offer. Applications from international students with equivalent qualifications are welcome.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All applications  will  be  subject  to  the  Kingston  University  Accreditation  of  Prior </w:t>
                  </w:r>
                  <w:r w:rsidRPr="2030048C">
                    <w:rPr>
                      <w:rStyle w:val="normaltextrun"/>
                      <w:rFonts w:ascii="Arial" w:eastAsia="Arial" w:hAnsi="Arial" w:cs="Arial"/>
                      <w:b w:val="0"/>
                      <w:bCs w:val="0"/>
                      <w:color w:val="000000"/>
                      <w:sz w:val="24"/>
                      <w:szCs w:val="24"/>
                      <w:shd w:val="clear" w:color="auto" w:fill="FFFFFF"/>
                    </w:rPr>
                    <w:t>Learning (APL) rules and regulations applicable at the time of application. </w:t>
                  </w:r>
                </w:p>
              </w:tc>
            </w:tr>
          </w:tbl>
          <w:p w:rsidR="00C447A7" w:rsidRPr="00BF1022" w:rsidP="2030048C" w14:paraId="4B08F2A9"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Non accredited programme</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 xml:space="preserve">Compensation is permitted in at most 30 credits across the programme, excluding the CI6600 Individual Project module. A module other that CI6600, with a grade of F5 (35- 39) can be compensated for a PC grade by at least 90 credits passed at that level.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The over-arching aim of the Computer Science and Artificial Intelligence (AI) course is to produce highly trained graduates with specialist technical knowledge in the mathematical and computational science aspects of applied AI, capable of solving real world problems with understanding of the wider socio-technical implications. Specifically, the aims are to produce graduates who:</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are equipped to meet the academic, professional, and practical requirements for membership of appropriate professional bodies such as the British Computer Society </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possess the appropriate ability and inclination, and are equipped, to undertake advanced studies and/or research and development in the computing, applied AI, and information systems disciplines</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can apply their knowledge and skills in the commercial, economic, and other contexts in which information and computer-based systems are developed with aspects of AI</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have an inquisitive and reflective attitude when modelling systems or data and understands the functional, information security and qualitative properties of systems and AI models</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understand and can articulate the legal, social, ethical, professional, cultural, and public aspects of problems and solutions in computing and AI</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have the capacity to acquire new knowledge and skills independently and to reflect on trends in the broad domain of computing and AI</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can seek, use, and communicate relevant information effectively in oral, visual and written forms</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are able to work in groups and individually, and to work for and with non-specialists, interpreting model and statistical outcomes for different audiences</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The course is ideal for students who are interested in developing and applying problem-solving skills to real world problems, would like to develop their understanding of computing, mathematics and statistical techniques through the practical lens of AI, and seek to expand their knowledge of the ethical dimensions inherent in these expanding and influential areas of computer science. With a balance of solid theory and practical application, this course </w:t>
      </w:r>
      <w:r w:rsidRPr="2030048C">
        <w:rPr>
          <w:rStyle w:val="normaltextrun"/>
          <w:rFonts w:ascii="Arial" w:hAnsi="Arial" w:cs="Arial"/>
          <w:color w:val="000000"/>
          <w:sz w:val="22"/>
          <w:szCs w:val="22"/>
          <w:shd w:val="clear" w:color="auto" w:fill="FFFFFF"/>
        </w:rPr>
        <w:t>builds on knowledge in relevant areas of statistics, data analysis, probability and programming.</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The course is designed so that an A-level or equivalent in mathematics or statistics is not required, nor is significant prior programming knowledge assumed. However, a keen interest in and enthusiasm for both data analysis and computing are essential prerequisites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and apply essential concepts, theories, principles and practices of computer science and mathematics underpinning applications of AI</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abstract and decompose problems to design effective solutions or models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and critically evaluate specifications for specialist computer systems involving AI and communicate these specifications to other computing professionals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the social, ethical, legal, commercial and other human factors that affect the design, development, deployment of computer systems involving aspects of AI</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synthesise information from disparate and potentially incomplete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 (and, where appropriate, modify) established systems, AI models, techniques and tools to model and build computer-based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security issues and evaluate risk in the context of computing and AI</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evaluate the extent to which a system or AI model meets the criteria for its current use and future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collaborate and communicate effectively with other professionals/stakeholders to plan, design,  implement, evaluate and deliver projects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the different ways in which data and information may be represented, stored and transmitted digitally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elicit, evaluate and model business, customer and user requirements, incorporating considerations such as sociological and commercial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software solutions involving AI using a variety of programming languages, environments and platforms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select and apply knowledge appropriate to specific situations, particularly unfamiliar situations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different programming environments and justify the selection of one or more for a given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appropriate mathematical methods and any relevant computer applications, to assist in the solution of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Full details of each module will be provided in module descriptors and the course page on the University Learning Management System, Canvas.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Note: As per </w:t>
      </w:r>
      <w:hyperlink r:id="rId11" w:history="1">
        <w:r w:rsidRPr="2030048C">
          <w:rPr>
            <w:rFonts w:ascii="Arial" w:eastAsia="Arial" w:hAnsi="Arial" w:cs="Arial"/>
            <w:color w:val="000000" w:themeColor="text1" w:themeShade="FF" w:themeTint="FF"/>
            <w:sz w:val="22"/>
            <w:szCs w:val="22"/>
          </w:rPr>
          <w:t>GR5</w:t>
        </w:r>
      </w:hyperlink>
      <w:r w:rsidRPr="2030048C">
        <w:rPr>
          <w:rFonts w:ascii="Arial" w:eastAsia="Arial" w:hAnsi="Arial" w:cs="Arial"/>
          <w:color w:val="000000" w:themeColor="text1" w:themeShade="FF" w:themeTint="FF"/>
          <w:sz w:val="22"/>
          <w:szCs w:val="22"/>
        </w:rPr>
        <w:t xml:space="preserve"> within the general regulations, the University aims to ensure that all option modules listed below are delivered. However, for various reasons, such as demand, the availability of option modules may vary from year to year or between teaching blocks.  The University will notify students by email as soon as these circumstances arise.</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Computer Science and Artificial Intelligence top-up</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Computer Science and Artificial Intelligence top-up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 xml:space="preserve"> Individual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CI6600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Advanced Data Modelling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CI6416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Applied AI and Machine Learning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MA6700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 PML</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Data Analytics in AI</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MA6740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Mobile Application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CI6330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Programming III – Patterns and Algorithms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CI6115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Software Development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CI6125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User Experience Design Thinking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CI6315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The programme comprises 90 credits of core modules and one optional module worth 30 credits. Students who exit the programme without completing the full 120 credits, but who have successfully completed at least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The British Computer Society who accredits many of the School’s courses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8"/>
        </w:numPr>
        <w:ind w:left="720" w:hanging="360"/>
        <w:jc w:val="left"/>
        <w:rPr>
          <w:rFonts w:ascii="Arial" w:eastAsia="Arial" w:hAnsi="Arial" w:cs="Arial"/>
          <w:sz w:val="24"/>
          <w:szCs w:val="24"/>
        </w:rPr>
      </w:pPr>
      <w:hyperlink r:id="rId12" w:history="1">
        <w:r w:rsidRPr="2030048C">
          <w:rPr>
            <w:rFonts w:ascii="Arial" w:eastAsia="Arial" w:hAnsi="Arial" w:cs="Arial"/>
            <w:sz w:val="24"/>
            <w:szCs w:val="24"/>
          </w:rPr>
          <w:t>QAA Subject benchmarks</w:t>
        </w:r>
      </w:hyperlink>
    </w:p>
    <w:p w:rsidRPr="2030048C" w:rsidP="2030048C">
      <w:pPr>
        <w:numPr>
          <w:ilvl w:val="0"/>
          <w:numId w:val="18"/>
        </w:numPr>
        <w:ind w:left="720" w:hanging="360"/>
        <w:jc w:val="left"/>
        <w:rPr>
          <w:rFonts w:ascii="Arial" w:eastAsia="Arial" w:hAnsi="Arial" w:cs="Arial"/>
          <w:sz w:val="24"/>
          <w:szCs w:val="24"/>
        </w:rPr>
      </w:pPr>
      <w:hyperlink r:id="rId13" w:history="1">
        <w:r w:rsidRPr="2030048C">
          <w:rPr>
            <w:rFonts w:ascii="Arial" w:eastAsia="Arial" w:hAnsi="Arial" w:cs="Arial"/>
            <w:sz w:val="24"/>
            <w:szCs w:val="24"/>
          </w:rPr>
          <w:t>PSRB Standards</w:t>
        </w:r>
      </w:hyperlink>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835"/>
        <w:gridCol w:w="968"/>
        <w:gridCol w:w="929"/>
        <w:gridCol w:w="83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CI6600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MA6700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CI6416</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There are two entry points - September and March.</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MsoTableGrid">
    <w:name w:val="MsoTableGrid"/>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cs.org/" TargetMode="Externa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qaa.ac.uk/the-quality-code/subject-benchmark-statements/computing" TargetMode="External"/><Relationship Id="rId7" Type="http://schemas.openxmlformats.org/officeDocument/2006/relationships/customXml" Target="../customXml/item4.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5" Type="http://schemas.openxmlformats.org/officeDocument/2006/relationships/numbering" Target="numbering.xm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E295244C-A87C-4596-8850-12256BB1B44B}"/>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