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Artificial Intelligence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Artificial Intelligence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UFARI1ARI20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I400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Artificial Intelligence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Artificial Intelligence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Artificial Intelligence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Artificial Intelligence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UFARI1ARI55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I40F</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Artificial Intelligence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 Artificial Intelligence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Artificial Intelligence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USARI1ARI45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I401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course is a broad, human-centred AI course that explores the fundamentals of applications of AI – it is not a “traditional” </w:t>
      </w:r>
      <w:r w:rsidRPr="2030048C">
        <w:rPr>
          <w:rStyle w:val="normaltextrun"/>
          <w:rFonts w:ascii="Arial" w:hAnsi="Arial" w:cs="Arial"/>
          <w:i/>
          <w:iCs/>
          <w:color w:val="000000" w:themeColor="text1"/>
          <w:sz w:val="24"/>
          <w:szCs w:val="24"/>
          <w:shd w:val="clear" w:color="auto" w:fill="FFFFFF"/>
        </w:rPr>
        <w:t xml:space="preserve">Applied AI </w:t>
      </w:r>
      <w:r w:rsidRPr="2030048C">
        <w:rPr>
          <w:rStyle w:val="normaltextrun"/>
          <w:rFonts w:ascii="Arial" w:hAnsi="Arial" w:cs="Arial"/>
          <w:color w:val="000000" w:themeColor="text1"/>
          <w:sz w:val="24"/>
          <w:szCs w:val="24"/>
          <w:shd w:val="clear" w:color="auto" w:fill="FFFFFF"/>
        </w:rPr>
        <w:t xml:space="preserve">course which typically includes mathematical and programming depth. It is a 'companion' for our </w:t>
      </w:r>
      <w:r w:rsidRPr="2030048C">
        <w:rPr>
          <w:rStyle w:val="normaltextrun"/>
          <w:rFonts w:ascii="Arial" w:hAnsi="Arial" w:cs="Arial"/>
          <w:i/>
          <w:iCs/>
          <w:color w:val="000000" w:themeColor="text1"/>
          <w:sz w:val="24"/>
          <w:szCs w:val="24"/>
          <w:shd w:val="clear" w:color="auto" w:fill="FFFFFF"/>
        </w:rPr>
        <w:t>BSc Computer Science</w:t>
      </w:r>
      <w:r w:rsidRPr="2030048C">
        <w:rPr>
          <w:rStyle w:val="normaltextrun"/>
          <w:rFonts w:ascii="Arial" w:hAnsi="Arial" w:cs="Arial"/>
          <w:color w:val="000000" w:themeColor="text1"/>
          <w:sz w:val="24"/>
          <w:szCs w:val="24"/>
          <w:shd w:val="clear" w:color="auto" w:fill="FFFFFF"/>
        </w:rPr>
        <w:t xml:space="preserve"> and the </w:t>
      </w:r>
      <w:r w:rsidRPr="2030048C">
        <w:rPr>
          <w:rStyle w:val="normaltextrun"/>
          <w:rFonts w:ascii="Arial" w:hAnsi="Arial" w:cs="Arial"/>
          <w:i/>
          <w:iCs/>
          <w:color w:val="000000" w:themeColor="text1"/>
          <w:sz w:val="24"/>
          <w:szCs w:val="24"/>
          <w:shd w:val="clear" w:color="auto" w:fill="FFFFFF"/>
        </w:rPr>
        <w:t>BSc Computer Science and AI</w:t>
      </w:r>
      <w:r w:rsidRPr="2030048C">
        <w:rPr>
          <w:rStyle w:val="normaltextrun"/>
          <w:rFonts w:ascii="Arial" w:hAnsi="Arial" w:cs="Arial"/>
          <w:color w:val="000000" w:themeColor="text1"/>
          <w:sz w:val="24"/>
          <w:szCs w:val="24"/>
          <w:shd w:val="clear" w:color="auto" w:fill="FFFFFF"/>
        </w:rPr>
        <w:t xml:space="preserve"> courses as it approaches technical topics with Generative AI tools rather than from first principles leading to familiarity with key concepts mediated through such tools (</w:t>
      </w:r>
      <w:r w:rsidRPr="2030048C">
        <w:rPr>
          <w:rStyle w:val="normaltextrun"/>
          <w:rFonts w:ascii="Arial" w:hAnsi="Arial" w:cs="Arial"/>
          <w:i/>
          <w:iCs/>
          <w:color w:val="000000" w:themeColor="text1"/>
          <w:sz w:val="24"/>
          <w:szCs w:val="24"/>
          <w:shd w:val="clear" w:color="auto" w:fill="FFFFFF"/>
        </w:rPr>
        <w:t>BSc Computer Science</w:t>
      </w:r>
      <w:r w:rsidRPr="2030048C">
        <w:rPr>
          <w:rStyle w:val="normaltextrun"/>
          <w:rFonts w:ascii="Arial" w:hAnsi="Arial" w:cs="Arial"/>
          <w:color w:val="000000" w:themeColor="text1"/>
          <w:sz w:val="24"/>
          <w:szCs w:val="24"/>
          <w:shd w:val="clear" w:color="auto" w:fill="FFFFFF"/>
        </w:rPr>
        <w:t xml:space="preserve"> and </w:t>
      </w:r>
      <w:r w:rsidRPr="2030048C">
        <w:rPr>
          <w:rStyle w:val="normaltextrun"/>
          <w:rFonts w:ascii="Arial" w:hAnsi="Arial" w:cs="Arial"/>
          <w:i/>
          <w:iCs/>
          <w:color w:val="000000" w:themeColor="text1"/>
          <w:sz w:val="24"/>
          <w:szCs w:val="24"/>
          <w:shd w:val="clear" w:color="auto" w:fill="FFFFFF"/>
        </w:rPr>
        <w:t>BSc Computer Science and AI</w:t>
      </w:r>
      <w:r w:rsidRPr="2030048C">
        <w:rPr>
          <w:rStyle w:val="normaltextrun"/>
          <w:rFonts w:ascii="Arial" w:hAnsi="Arial" w:cs="Arial"/>
          <w:color w:val="000000" w:themeColor="text1"/>
          <w:sz w:val="24"/>
          <w:szCs w:val="24"/>
          <w:shd w:val="clear" w:color="auto" w:fill="FFFFFF"/>
        </w:rPr>
        <w:t xml:space="preserve"> both take a depth-first approach to programming and mathematics whilst </w:t>
      </w:r>
      <w:r w:rsidRPr="2030048C">
        <w:rPr>
          <w:rStyle w:val="normaltextrun"/>
          <w:rFonts w:ascii="Arial" w:hAnsi="Arial" w:cs="Arial"/>
          <w:i/>
          <w:iCs/>
          <w:color w:val="000000" w:themeColor="text1"/>
          <w:sz w:val="24"/>
          <w:szCs w:val="24"/>
          <w:shd w:val="clear" w:color="auto" w:fill="FFFFFF"/>
        </w:rPr>
        <w:t xml:space="preserve">BSc AI </w:t>
      </w:r>
      <w:r w:rsidRPr="2030048C">
        <w:rPr>
          <w:rStyle w:val="normaltextrun"/>
          <w:rFonts w:ascii="Arial" w:hAnsi="Arial" w:cs="Arial"/>
          <w:color w:val="000000" w:themeColor="text1"/>
          <w:sz w:val="24"/>
          <w:szCs w:val="24"/>
          <w:shd w:val="clear" w:color="auto" w:fill="FFFFFF"/>
        </w:rPr>
        <w:t>is breadth-first).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topics spanning Level 4,5,6 include explainable AI and ethics, human-centric and social applications of AI, leading to graduates with the following experiences: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Designing and evaluating human-centric AI systems that enhance user interaction, user experience (UX) and trust.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Exploring explainable AI (xAI) techniques to improve model transparency and interpretability.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Evaluating AI methods in socially interactive applications, such as chatbots, virtual assistants or business decision support roles.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Assessing the role of AI in shaping human behaviour, communication, and decision-making.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Applying ethical and regulatory frameworks to AI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Identifying emerging areas such as AI for social good, AI regulation, and sustainable AI.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Critically assessing the future implications of AI, including the balance between innovation and regulation.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core AI and machine learning principles.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AI systems for explainability, fairness, reliability, and user-centred effectiveness.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develop and evaluate human‑centric AI prototypes, considering usability, transparency and trust.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and evaluate fundamental concepts in legal, ethical, societal and professional aspects of AI and how they relate to global challenges such as the UN SDGs.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knowledge from ethics, design thinking, and computing to design ethically-aligned, human-centric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Use contemporary project management, tools and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frameworks to implement AI solutions.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Explain how AI systems can be designed with and evaluated against human values, usability,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accessibility, and interdisciplinary perspectives.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engage with professional and academic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literature to form evidence-based judgments about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emerging AI technologies and applications.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Conduct quantitative and qualitative evaluations,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including user studies, fairness and bias analysis, explainability metrics, and usability testing.</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limitations, biases, and vulnerabilities of AI systems and articulate mitigation strategies and risk in AI deployment.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Reflect on the societal implications of AI systems in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diverse contexts and propose responsible innovation strategies.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Communicate with both specialist and non‑specialist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audiences effectively.</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your professional development and the structure of the placement organisation.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your experience during the professional placement, including research and information literacy, numeracy, management and leadership skills.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Collaborate effectively within multidisciplinary teams,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recognising diverse roles.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Whilst the intention to develop these attributes feature within all of our modules, they are purposively embedded into the following modules,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CI4450 - Professional Environments 1 (</w:t>
      </w:r>
      <w:r w:rsidRPr="2030048C">
        <w:rPr>
          <w:rFonts w:ascii="Arial" w:eastAsia="Arial" w:hAnsi="Arial" w:cs="Arial"/>
          <w:i/>
          <w:iCs/>
          <w:color w:val="000000" w:themeColor="text1" w:themeShade="FF" w:themeTint="FF"/>
          <w:sz w:val="24"/>
          <w:szCs w:val="24"/>
        </w:rPr>
        <w:t>Navigate</w:t>
      </w:r>
      <w:r w:rsidRPr="2030048C">
        <w:rPr>
          <w:rFonts w:ascii="Arial" w:eastAsia="Arial" w:hAnsi="Arial" w:cs="Arial"/>
          <w:color w:val="000000" w:themeColor="text1" w:themeShade="FF" w:themeTint="FF"/>
          <w:sz w:val="24"/>
          <w:szCs w:val="24"/>
        </w:rPr>
        <w: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CI5450 - Professional Environments 2 (</w:t>
      </w:r>
      <w:r w:rsidRPr="2030048C">
        <w:rPr>
          <w:rFonts w:ascii="Arial" w:eastAsia="Arial" w:hAnsi="Arial" w:cs="Arial"/>
          <w:i/>
          <w:iCs/>
          <w:color w:val="000000" w:themeColor="text1" w:themeShade="FF" w:themeTint="FF"/>
          <w:sz w:val="24"/>
          <w:szCs w:val="24"/>
        </w:rPr>
        <w:t>Explore</w:t>
      </w:r>
      <w:r w:rsidRPr="2030048C">
        <w:rPr>
          <w:rFonts w:ascii="Arial" w:eastAsia="Arial" w:hAnsi="Arial" w:cs="Arial"/>
          <w:color w:val="000000" w:themeColor="text1" w:themeShade="FF" w:themeTint="FF"/>
          <w:sz w:val="24"/>
          <w:szCs w:val="24"/>
        </w:rPr>
        <w: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AX6001 - Apply</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Students can progress from one level to the next with 30 credits trailing but they must pass the failed credits before progressing to the next leve</w:t>
      </w:r>
      <w:r w:rsidRPr="2030048C">
        <w:rPr>
          <w:rFonts w:ascii="Arial" w:eastAsia="Arial" w:hAnsi="Arial" w:cs="Arial"/>
          <w:color w:val="000000" w:themeColor="text1" w:themeShade="FF" w:themeTint="FF"/>
          <w:sz w:val="24"/>
          <w:szCs w:val="24"/>
        </w:rPr>
        <w:t>l. This</w:t>
      </w:r>
      <w:r w:rsidRPr="2030048C">
        <w:rPr>
          <w:rFonts w:ascii="Arial" w:eastAsia="Arial" w:hAnsi="Arial" w:cs="Arial"/>
          <w:color w:val="000000"/>
          <w:sz w:val="24"/>
          <w:szCs w:val="24"/>
        </w:rPr>
        <w:t xml:space="preserve">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Students on the Foundation Pathway should refer to the Foundation Year in Computing programme specification for details of their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Artificial Intelligence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Artificial Intelligence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AI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CI4720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AI-Powered Applications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CI4730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Generative AI and Ethical Applications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CI4710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Artificial Intelligence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AI Application Fundamentals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CI5720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AI Engineering and Prototyping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CI5710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Management and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Platforms and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CI6720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AI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CI6710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Data Modelling Futures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CI6730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Artificial Intelligence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Artificial Intelligence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Artificial Intelligence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the CI5999 placement module will be required for the award of the professional placement credits.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including project-based learning in core modules at each level of study.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Computing 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Personal Tutors provide academic and personal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sz w:val="24"/>
          <w:szCs w:val="24"/>
        </w:rPr>
        <w:t xml:space="preserve">Maths Café </w:t>
      </w:r>
      <w:r w:rsidRPr="2030048C">
        <w:rPr>
          <w:rFonts w:ascii="Arial" w:eastAsia="Arial" w:hAnsi="Arial" w:cs="Arial"/>
          <w:sz w:val="24"/>
          <w:szCs w:val="24"/>
        </w:rPr>
        <w:t xml:space="preserve">and </w:t>
      </w:r>
      <w:r w:rsidRPr="2030048C">
        <w:rPr>
          <w:rFonts w:ascii="Arial" w:eastAsia="Arial" w:hAnsi="Arial" w:cs="Arial"/>
          <w:i/>
          <w:iCs/>
          <w:sz w:val="24"/>
          <w:szCs w:val="24"/>
        </w:rPr>
        <w:t xml:space="preserve">Programming </w:t>
      </w:r>
      <w:r w:rsidRPr="2030048C">
        <w:rPr>
          <w:rFonts w:ascii="Arial" w:eastAsia="Arial" w:hAnsi="Arial" w:cs="Arial"/>
          <w:sz w:val="24"/>
          <w:szCs w:val="24"/>
        </w:rPr>
        <w:t xml:space="preserve">Café provide additional support when learning mathematics, statistics and programming concepts </w:t>
      </w:r>
    </w:p>
    <w:p w:rsidRPr="2030048C" w:rsidP="2030048C">
      <w:pPr>
        <w:rPr>
          <w:rFonts w:ascii="Arial" w:eastAsia="Arial" w:hAnsi="Arial" w:cs="Arial"/>
          <w:sz w:val="24"/>
          <w:szCs w:val="24"/>
        </w:rPr>
      </w:pPr>
      <w:r w:rsidRPr="2030048C">
        <w:rPr>
          <w:rFonts w:ascii="Arial" w:eastAsia="Arial" w:hAnsi="Arial" w:cs="Arial"/>
          <w:sz w:val="24"/>
          <w:szCs w:val="24"/>
        </w:rPr>
        <w:t>Personal Tutors from the BSc AI teaching team and the </w:t>
      </w:r>
      <w:r w:rsidRPr="2030048C">
        <w:rPr>
          <w:rFonts w:ascii="Arial" w:eastAsia="Arial" w:hAnsi="Arial" w:cs="Arial"/>
          <w:i/>
          <w:iCs/>
          <w:sz w:val="24"/>
          <w:szCs w:val="24"/>
        </w:rPr>
        <w:t>Café </w:t>
      </w:r>
      <w:r w:rsidRPr="2030048C">
        <w:rPr>
          <w:rFonts w:ascii="Arial" w:eastAsia="Arial" w:hAnsi="Arial" w:cs="Arial"/>
          <w:sz w:val="24"/>
          <w:szCs w:val="24"/>
        </w:rPr>
        <w:t>support, together with the guided learning on each Canvas module, support students from diverse entry routes. To ease transition the Café support is timetabled (as optional additional support) in Level 3 and Level 4 and available to all throughout their course.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Industrial Consultative Committee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Computing March 2022 (</w:t>
      </w:r>
      <w:hyperlink r:id="rId11" w:history="1">
        <w:r w:rsidRPr="2030048C">
          <w:rPr>
            <w:rFonts w:ascii="Arial" w:eastAsia="Arial" w:hAnsi="Arial" w:cs="Arial"/>
            <w:sz w:val="24"/>
            <w:szCs w:val="24"/>
          </w:rPr>
          <w:t>https://www.qaa.ac.uk/docs/qaa/sbs/sbs-computing-22.pdf</w:t>
        </w:r>
      </w:hyperlink>
      <w:r w:rsidRPr="2030048C">
        <w:rPr>
          <w:rFonts w:ascii="Arial" w:eastAsia="Arial" w:hAnsi="Arial" w:cs="Arial"/>
          <w:sz w:val="24"/>
          <w:szCs w:val="24"/>
        </w:rPr>
        <w: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Body accreditation standards from the British Computer Society April 2022 (</w:t>
      </w:r>
      <w:hyperlink r:id="rId12" w:history="1">
        <w:r w:rsidRPr="2030048C">
          <w:rPr>
            <w:rFonts w:ascii="Arial" w:eastAsia="Arial" w:hAnsi="Arial" w:cs="Arial"/>
            <w:sz w:val="24"/>
            <w:szCs w:val="24"/>
          </w:rPr>
          <w:t>https://www.bcs.org/media/1209/accreditation-guidelines.pdf</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37"/>
        <w:gridCol w:w="238"/>
        <w:gridCol w:w="541"/>
        <w:gridCol w:w="541"/>
        <w:gridCol w:w="541"/>
        <w:gridCol w:w="541"/>
        <w:gridCol w:w="541"/>
        <w:gridCol w:w="541"/>
        <w:gridCol w:w="541"/>
        <w:gridCol w:w="541"/>
        <w:gridCol w:w="541"/>
        <w:gridCol w:w="541"/>
        <w:gridCol w:w="541"/>
        <w:gridCol w:w="541"/>
        <w:gridCol w:w="541"/>
        <w:gridCol w:w="6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CI4710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CI4730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CI5710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CI6710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CI6730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 course follows the University standard undergraduate entry. All modules are year-long and apart from two final year modules and the optional placement module they are also 30 credits in size.</w:t>
      </w:r>
    </w:p>
    <w:p w:rsidRPr="2030048C" w:rsidP="2030048C">
      <w:pPr>
        <w:rPr>
          <w:rFonts w:ascii="Arial" w:eastAsia="Arial" w:hAnsi="Arial" w:cs="Arial"/>
          <w:sz w:val="24"/>
          <w:szCs w:val="24"/>
        </w:rPr>
      </w:pPr>
      <w:r w:rsidRPr="2030048C">
        <w:rPr>
          <w:rFonts w:ascii="Arial" w:eastAsia="Arial" w:hAnsi="Arial" w:cs="Arial"/>
          <w:sz w:val="24"/>
          <w:szCs w:val="24"/>
        </w:rPr>
        <w:t>September intakes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bcs.org/media/1209/accreditation-guidelines.pdf"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bs/sbs-computing-22.pdf"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4C368E3-A4DE-44D7-81E7-D19A966DC74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