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 (Web and Mobile App Development)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(Web and Mobile App Development)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Computer Science (Web and App Development)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in Colombo</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Edexcel HND Levels: A pass in the relevant HND to include a pass in the sixteen units listed in Table 1 below  (or their      equivalent) and the achievement of an overall score of 240 credit points of which 120 would be at Level 5.</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Completion of the 2</w:t>
            </w:r>
            <w:r w:rsidRPr="2030048C">
              <w:rPr>
                <w:rStyle w:val="normaltextrun"/>
                <w:rFonts w:ascii="Arial" w:eastAsia="Arial" w:hAnsi="Arial" w:cs="Arial"/>
                <w:b w:val="0"/>
                <w:bCs w:val="0"/>
                <w:color w:val="000000"/>
                <w:sz w:val="22"/>
                <w:szCs w:val="22"/>
                <w:shd w:val="clear" w:color="auto" w:fill="FFFFFF"/>
                <w:vertAlign w:val="superscript"/>
              </w:rPr>
              <w:t>nd</w:t>
            </w:r>
            <w:r w:rsidRPr="2030048C">
              <w:rPr>
                <w:rStyle w:val="normaltextrun"/>
                <w:rFonts w:ascii="Arial" w:eastAsia="Arial" w:hAnsi="Arial" w:cs="Arial"/>
                <w:b w:val="0"/>
                <w:bCs w:val="0"/>
                <w:color w:val="000000"/>
                <w:sz w:val="22"/>
                <w:szCs w:val="22"/>
                <w:shd w:val="clear" w:color="auto" w:fill="FFFFFF"/>
              </w:rPr>
              <w:t xml:space="preserve"> year of the University Of Colombo, School Of Computing’s Bachelor of Information Technology External Degree, covering the subjects shown in Table 2.</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numPr>
                <w:ilvl w:val="0"/>
                <w:numId w:val="13"/>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Completion of the British Computer Society’s (BCS) Higher Education Qualification’s (HEQ) Certificate and Diploma levels, shown in Table 3.</w:t>
            </w:r>
          </w:p>
          <w:p w:rsidRPr="2030048C" w:rsidP="2030048C">
            <w:pPr>
              <w:ind w:left="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Or</w:t>
            </w:r>
          </w:p>
          <w:p w:rsidRPr="2030048C" w:rsidP="2030048C">
            <w:pPr>
              <w:numPr>
                <w:ilvl w:val="0"/>
                <w:numId w:val="14"/>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Case by case consideration of equivalent academic and professional qualifications achieved at comparable levels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1: Pearson BTEC HND in Computing (Network Engineering)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3550"/>
              <w:gridCol w:w="976"/>
              <w:gridCol w:w="1148"/>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Networking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Professional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Database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Managing a successful computing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Maths for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design and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Business intelligence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Cloud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Emerging technologies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Computing research project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Discrete maths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Transport network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Network security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15</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2: UCSC BIT Degree Year 1 and Year 2</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2357"/>
              <w:gridCol w:w="576"/>
              <w:gridCol w:w="2741"/>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z w:val="20"/>
                      <w:szCs w:val="20"/>
                      <w:shd w:val="clear" w:color="auto" w:fill="FFFFFF"/>
                    </w:rPr>
                    <w:t>c</w:t>
                  </w:r>
                  <w:r w:rsidRPr="2030048C">
                    <w:rPr>
                      <w:rStyle w:val="normaltextrun"/>
                      <w:rFonts w:ascii="Arial" w:eastAsia="Arial" w:hAnsi="Arial" w:cs="Arial"/>
                      <w:b/>
                      <w:bCs/>
                      <w:color w:val="000000"/>
                      <w:sz w:val="20"/>
                      <w:szCs w:val="20"/>
                      <w:shd w:val="clear" w:color="auto" w:fill="FFFFFF"/>
                    </w:rPr>
                    <w:t xml:space="preserve">t </w:t>
                  </w:r>
                  <w:r w:rsidRPr="2030048C">
                    <w:rPr>
                      <w:rStyle w:val="normaltextrun"/>
                      <w:rFonts w:ascii="Arial" w:eastAsia="Arial" w:hAnsi="Arial" w:cs="Arial"/>
                      <w:b/>
                      <w:bCs/>
                      <w:color w:val="000000"/>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ind w:right="-15"/>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 &amp;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Equivalent to the first 2 years of a UK Hons Degree. </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Communication Skills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Introductory Mathematics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Personal Computing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Database Systems 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Systems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Object Oriented Analysis &amp;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Fundamentals of Software Engineering</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Mathematics for Computing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User Interface Design</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Web Application Development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Programming II</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Technology Project Management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Rapid 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Networks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Table 3: BCS HEQ Certificate &amp; Diploma Level</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2005"/>
              <w:gridCol w:w="644"/>
              <w:gridCol w:w="3025"/>
            </w:tblGrid>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0"/>
                      <w:szCs w:val="20"/>
                      <w:shd w:val="clear" w:color="auto" w:fill="FFFFFF"/>
                    </w:rPr>
                    <w:t>S</w:t>
                  </w:r>
                  <w:r w:rsidRPr="2030048C">
                    <w:rPr>
                      <w:rStyle w:val="normaltextrun"/>
                      <w:rFonts w:ascii="Arial" w:eastAsia="Arial" w:hAnsi="Arial" w:cs="Arial"/>
                      <w:b/>
                      <w:bCs/>
                      <w:color w:val="000000"/>
                      <w:sz w:val="20"/>
                      <w:szCs w:val="20"/>
                      <w:shd w:val="clear" w:color="auto" w:fill="FFFFFF"/>
                    </w:rPr>
                    <w:t>ubje</w:t>
                  </w:r>
                  <w:r w:rsidRPr="2030048C">
                    <w:rPr>
                      <w:rStyle w:val="normaltextrun"/>
                      <w:rFonts w:ascii="Arial" w:eastAsia="Arial" w:hAnsi="Arial" w:cs="Arial"/>
                      <w:b/>
                      <w:bCs/>
                      <w:color w:val="000000"/>
                      <w:sz w:val="20"/>
                      <w:szCs w:val="20"/>
                      <w:shd w:val="clear" w:color="auto" w:fill="FFFFFF"/>
                    </w:rPr>
                    <w:t>c</w:t>
                  </w:r>
                  <w:r w:rsidRPr="2030048C">
                    <w:rPr>
                      <w:rStyle w:val="normaltextrun"/>
                      <w:rFonts w:ascii="Arial" w:eastAsia="Arial" w:hAnsi="Arial" w:cs="Arial"/>
                      <w:b/>
                      <w:bCs/>
                      <w:color w:val="000000"/>
                      <w:sz w:val="20"/>
                      <w:szCs w:val="20"/>
                      <w:shd w:val="clear" w:color="auto" w:fill="FFFFFF"/>
                    </w:rPr>
                    <w:t xml:space="preserve">t </w:t>
                  </w:r>
                  <w:r w:rsidRPr="2030048C">
                    <w:rPr>
                      <w:rStyle w:val="normaltextrun"/>
                      <w:rFonts w:ascii="Arial" w:eastAsia="Arial" w:hAnsi="Arial" w:cs="Arial"/>
                      <w:b/>
                      <w:bCs/>
                      <w:color w:val="000000"/>
                      <w:sz w:val="20"/>
                      <w:szCs w:val="20"/>
                      <w:shd w:val="clear" w:color="auto" w:fill="FFFFFF"/>
                    </w:rPr>
                    <w:t>D</w:t>
                  </w:r>
                  <w:r w:rsidRPr="2030048C">
                    <w:rPr>
                      <w:rStyle w:val="normaltextrun"/>
                      <w:rFonts w:ascii="Arial" w:eastAsia="Arial" w:hAnsi="Arial" w:cs="Arial"/>
                      <w:b/>
                      <w:bCs/>
                      <w:color w:val="000000"/>
                      <w:sz w:val="20"/>
                      <w:szCs w:val="20"/>
                      <w:shd w:val="clear" w:color="auto" w:fill="FFFFFF"/>
                    </w:rPr>
                    <w:t>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QCF Level</w:t>
                  </w:r>
                </w:p>
              </w:tc>
              <w:tc>
                <w:tcPr>
                  <w:noWrap w:val="0"/>
                  <w:tcMar>
                    <w:top w:w="15" w:type="dxa"/>
                    <w:left w:w="15" w:type="dxa"/>
                    <w:bottom w:w="15" w:type="dxa"/>
                    <w:right w:w="15" w:type="dxa"/>
                  </w:tcMar>
                  <w:vAlign w:val="center"/>
                  <w:hideMark/>
                </w:tcPr>
                <w:p w:rsidRPr="2030048C" w:rsidP="2030048C">
                  <w:pPr>
                    <w:ind w:right="-15"/>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Information Systems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Equivalent to the first 2 years of a UK Hons Degree.</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Level 4</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100/6181/2</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Level 5 100/6190/3 </w:t>
                  </w: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Software Development</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Computer &amp; Network Technology</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Professionals issues in IS practice</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Option to be selected</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All  applications  will  be  subject  to  the  Kingston  University  Accreditation  of  Prior</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Learning (APL) rules and regulations applicable at the time of application.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 accredited course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 xml:space="preserve">Reassessment of the project module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following failure in the CI6600 Individual Project module will normally be: </w:t>
            </w:r>
          </w:p>
          <w:p w:rsidR="5D711985" w:rsidRPr="158602C4" w:rsidP="158602C4">
            <w:pPr>
              <w:numPr>
                <w:ilvl w:val="0"/>
                <w:numId w:val="15"/>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by retake to improve the dissertation for marginal failure (Grade F5 or marks of 35-39) and the mark will be capped </w:t>
            </w:r>
          </w:p>
          <w:p w:rsidR="5D711985" w:rsidRPr="158602C4" w:rsidP="158602C4">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otherwise by repeat with a new project brief.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 xml:space="preserve">Compensation of modules: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permitted in at most 30 credits across the programme, excluding the CI6600 Individual Project module. A module, other than CI6600, with a grade of F5 (marks of 35-39) can be compensated for a PC grade by at least 90 credits passed at that level.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over-arching aim of the Computer Science (Networking and Network Security) course is to produce highly trained graduates with specialist technical knowledge and a scientific mind set, capable of solving real world problems, are driven by passion, sustainability and wider socio-technical implications are considered at all levels. Specifically the aims are to produce graduates who: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the required knowledge, skills and attitudes to practice as computing professionals in both industry and commerce</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are equipped to meet the academic, professional and practical requirements for membership of appropriate professional bodies.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can apply their knowledge and skills in the various contexts in which information and computer-based systems are developed.  In particular, they can both initiate and sustain a planned and disciplined personal effort when working alone and can participate effectively as a member of a team</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an inquisitive and reflective attitude when modelling systems and understand the functional and qualitative properties of systems.</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have the ability to evaluate and predict security, performance and efficiency associated system properties and their context dependencies.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 and can articulate the legal, ethical, social, cultural and public aspects of problems and solutions.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have the capacity to acquire new knowledge and skills independently, to reflect on trends in the computing domain and to demonstrate through their actions a creative contribution.</w:t>
      </w:r>
    </w:p>
    <w:p w:rsidRPr="2030048C" w:rsidP="2030048C">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(Web and Mobile App Development)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 (Web and Mobile App Development)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pStyle w:val="PlainText"/>
        <w:jc w:val="both"/>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0"/>
          <w:szCs w:val="20"/>
        </w:rPr>
        <w:t xml:space="preserve">QAA Benchmark statement website:  </w:t>
      </w:r>
      <w:hyperlink r:id="rId11" w:history="1">
        <w:r w:rsidRPr="2030048C">
          <w:rPr>
            <w:rFonts w:ascii="Arial" w:eastAsia="Arial" w:hAnsi="Arial" w:cs="Arial"/>
            <w:sz w:val="20"/>
            <w:szCs w:val="20"/>
          </w:rPr>
          <w:t>https://www.qaa.ac.uk/quality-code/subject-benchmark-statements</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 xml:space="preserve">Professional or statutory body information:  </w:t>
      </w:r>
      <w:hyperlink r:id="rId12" w:history="1">
        <w:r w:rsidRPr="2030048C">
          <w:rPr>
            <w:rFonts w:ascii="Arial" w:eastAsia="Arial" w:hAnsi="Arial" w:cs="Arial"/>
            <w:color w:val="000000"/>
            <w:sz w:val="20"/>
            <w:szCs w:val="20"/>
          </w:rPr>
          <w:t>http://www.bcs.org/</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Module guides</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Student handbook</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 xml:space="preserve">Guidance on Enterprise and Entrepreneurship (Draft) </w:t>
      </w:r>
    </w:p>
    <w:p w:rsidRPr="2030048C" w:rsidP="2030048C">
      <w:pPr>
        <w:ind w:left="720"/>
        <w:jc w:val="left"/>
        <w:rPr>
          <w:rFonts w:ascii="Arial" w:eastAsia="Arial" w:hAnsi="Arial" w:cs="Arial"/>
          <w:sz w:val="24"/>
          <w:szCs w:val="24"/>
        </w:rPr>
      </w:pPr>
      <w:hyperlink r:id="rId13" w:history="1">
        <w:r w:rsidRPr="2030048C">
          <w:rPr>
            <w:rFonts w:ascii="Arial" w:eastAsia="Arial" w:hAnsi="Arial" w:cs="Arial"/>
            <w:sz w:val="20"/>
            <w:szCs w:val="20"/>
          </w:rPr>
          <w:t>https://www.qaa.ac.uk/en/quality-code/advice-and-guidance/external-expertise</w:t>
        </w:r>
      </w:hyperlink>
      <w:r w:rsidRPr="2030048C">
        <w:rPr>
          <w:rFonts w:ascii="Arial" w:eastAsia="Arial" w:hAnsi="Arial" w:cs="Arial"/>
          <w:sz w:val="22"/>
          <w:szCs w:val="22"/>
        </w:rPr>
        <w:t xml:space="preserve"> </w:t>
      </w:r>
    </w:p>
    <w:p w:rsidRPr="2030048C" w:rsidP="2030048C">
      <w:pPr>
        <w:ind w:left="720"/>
        <w:jc w:val="left"/>
        <w:rPr>
          <w:rFonts w:ascii="Arial" w:eastAsia="Arial" w:hAnsi="Arial" w:cs="Arial"/>
          <w:sz w:val="24"/>
          <w:szCs w:val="24"/>
        </w:rPr>
      </w:pPr>
      <w:r w:rsidRPr="2030048C">
        <w:rPr>
          <w:rFonts w:ascii="Arial" w:eastAsia="Arial" w:hAnsi="Arial" w:cs="Arial"/>
          <w:color w:val="000000"/>
          <w:sz w:val="20"/>
          <w:szCs w:val="20"/>
        </w:rPr>
        <w:t>Shadbolt review</w:t>
      </w:r>
      <w:r w:rsidRPr="2030048C">
        <w:rPr>
          <w:rFonts w:ascii="Arial" w:eastAsia="Arial" w:hAnsi="Arial" w:cs="Arial"/>
          <w:sz w:val="22"/>
          <w:szCs w:val="22"/>
        </w:rPr>
        <w:fldChar w:fldCharType="begin"/>
      </w:r>
      <w:r w:rsidRPr="2030048C">
        <w:rPr>
          <w:rFonts w:ascii="Arial" w:eastAsia="Arial" w:hAnsi="Arial" w:cs="Arial"/>
          <w:sz w:val="22"/>
          <w:szCs w:val="22"/>
        </w:rPr>
        <w:instrText xml:space="preserve"> HYPERLINK "https://www.gov.uk/government/uploads/system/uploads/attachment_data/file/518575/ind-16-5-shadbolt-review-computer-science-graduate-employability.pdf" </w:instrText>
      </w:r>
      <w:r w:rsidRPr="2030048C">
        <w:rPr>
          <w:rFonts w:ascii="Arial" w:eastAsia="Arial" w:hAnsi="Arial" w:cs="Arial"/>
          <w:sz w:val="22"/>
          <w:szCs w:val="22"/>
        </w:rPr>
        <w:fldChar w:fldCharType="separate"/>
      </w:r>
    </w:p>
    <w:p w:rsidRPr="2030048C" w:rsidP="2030048C">
      <w:pPr>
        <w:ind w:left="720"/>
        <w:jc w:val="left"/>
        <w:rPr>
          <w:rFonts w:ascii="Arial" w:eastAsia="Arial" w:hAnsi="Arial" w:cs="Arial"/>
          <w:color w:val="000000"/>
          <w:sz w:val="20"/>
          <w:szCs w:val="20"/>
        </w:rPr>
      </w:pPr>
      <w:r w:rsidRPr="2030048C">
        <w:rPr>
          <w:rFonts w:ascii="Arial" w:eastAsia="Arial" w:hAnsi="Arial" w:cs="Arial"/>
          <w:color w:val="000000"/>
          <w:sz w:val="20"/>
          <w:szCs w:val="20"/>
        </w:rPr>
        <w:t>https://www.gov.uk/government/uploads/system/uploads/attachment_data/file/518575/ind-16-5-shadbolt-review-computer-science-graduate-employability.pdf</w:t>
      </w:r>
      <w:r w:rsidRPr="2030048C">
        <w:rPr>
          <w:rFonts w:ascii="Arial" w:eastAsia="Arial" w:hAnsi="Arial" w:cs="Arial"/>
          <w:sz w:val="20"/>
          <w:szCs w:val="20"/>
        </w:rPr>
        <w:fldChar w:fldCharType="end"/>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CI6250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PlainText">
    <w:name w:val="Plain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en/quality-code/advice-and-guidance/external-expertise"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cs.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quality-code/subject-benchmark-statement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C594DF0-1589-4634-A95B-6B5BAF9E38F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