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 (Web &amp; Mobile Application Development)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06/08/2025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 Metro Campus,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(Web &amp; Mobile Application Development)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Computer Science (Web &amp; Mobile Application Development)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Computer Science (Web &amp; Mobile Application Development)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Computer Science (Web &amp; Mobile Application Development)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UFCSW1CSW21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ESU Colombo and ESU Kandy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Three Passes in one sitting at one of the following examinations or equivalent foreign qualifications </w:t>
            </w:r>
          </w:p>
          <w:p w:rsidRPr="2030048C" w:rsidP="2030048C">
            <w:pPr>
              <w:numPr>
                <w:ilvl w:val="1"/>
                <w:numId w:val="12"/>
              </w:numPr>
              <w:ind w:left="144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G.C.E. (A/L) – conducted by the Department of Examinations, Sri Lanka  </w:t>
            </w:r>
          </w:p>
          <w:p w:rsidRPr="2030048C" w:rsidP="2030048C">
            <w:pPr>
              <w:numPr>
                <w:ilvl w:val="1"/>
                <w:numId w:val="12"/>
              </w:numPr>
              <w:ind w:left="144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G.C.E. (A/L) – conducted by Pearson Edexcel, UK (London A/L)  </w:t>
            </w:r>
          </w:p>
          <w:p w:rsidRPr="2030048C" w:rsidP="2030048C">
            <w:pPr>
              <w:numPr>
                <w:ilvl w:val="1"/>
                <w:numId w:val="12"/>
              </w:numPr>
              <w:ind w:left="144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International (A/L) IGCSE’s – conducted by Pearson Edexcel, UK  </w:t>
            </w:r>
          </w:p>
          <w:p w:rsidRPr="2030048C" w:rsidP="2030048C">
            <w:pPr>
              <w:numPr>
                <w:ilvl w:val="1"/>
                <w:numId w:val="12"/>
              </w:numPr>
              <w:ind w:left="144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G.C. E. (A/L) – conducted by Cambridge International Examinations, UK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OR </w:t>
            </w:r>
          </w:p>
          <w:p w:rsidRPr="2030048C" w:rsidP="2030048C">
            <w:pPr>
              <w:numPr>
                <w:ilvl w:val="0"/>
                <w:numId w:val="13"/>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ESOFT International Foundation Diploma.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We will consider a range of alternative qualifications or experience that is equivalent to the typical offer. Applications from international students with equivalent qualifications are welcome.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MsoTableGrid"/>
              <w:tblCellSpacing w:w="15" w:type="dxa"/>
              <w:tblCellMar>
                <w:top w:w="15" w:type="dxa"/>
                <w:left w:w="15" w:type="dxa"/>
                <w:bottom w:w="15" w:type="dxa"/>
                <w:right w:w="15" w:type="dxa"/>
              </w:tblCellMar>
              <w:tblLook w:val="05E0"/>
            </w:tblPr>
            <w:tblGrid>
              <w:gridCol w:w="3028"/>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Non-accredited programme </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Produce graduates with the knowledge, skills, and professional attitudes required to work effectively as computing professionals in industry and commerce.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to meet the academic, practical, and professional standards for membership in relevant bodies, such as the British Computer Society.</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awareness of the range and impact of computer-based systems and their interactions with human, organisational, and social contexts.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to pursue advanced study, research, or development in computing, particularly within web and mobile application domains.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graduates to apply their skills across diverse development contexts, both independently and collaboratively within teams.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Encourage a reflective and analytical mindset in system modelling, with an understanding of both functional and qualitative system characteristics.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ability to assess and predict key system properties, including security, performance, and efficiency, within varying environments.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Promote understanding of the legal, ethical, cultural, and societal dimensions of computing solutions.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independent learning and foster creativity in responding to trends and innovations in web and mobile technologies.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apply essential concepts, theories, principles, and practices of computer science specific to web and mobile application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critically evaluate specifications for specialist computer systems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the social, ethical, legal, commercial and other human factors that affect the design, development, deployment of computer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model and build systems, documents and other related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(and, where appropriate, modify) established systems, software development methods, techniques and tools to model and build computer based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security issues and evaluate risk for the safe operation of computing and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analyze and evaluate the extent to which a web or mobile application meets functional, performance, security, and user experience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manage, implement and deliver IT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compare different architectures, data representation, storage, and transmission methods used in web and mobile application development, including client-server interactions and API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user interface (UI) and user experience (UX) design principles and patterns for web and mobile applications, proposing improvements based on best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robust web and mobile software solutions using a variety of relevant programming languages, frameworks,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different project management approaches commonly used in the IT industry and select, modify or construct one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approaches, patterns and/or paradigms,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design and prototype human/computer interfaces using HCI and UX theory and best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lang w:val="en-US" w:eastAsia="en-US"/>
        </w:rPr>
        <w:t xml:space="preserve">Note: As per </w:t>
      </w:r>
      <w:hyperlink r:id="rId11" w:anchor="blockid21000" w:history="1">
        <w:r w:rsidRPr="2030048C">
          <w:rPr>
            <w:rFonts w:ascii="Arial" w:eastAsia="Arial" w:hAnsi="Arial" w:cs="Arial"/>
            <w:color w:val="000000"/>
            <w:sz w:val="24"/>
            <w:szCs w:val="24"/>
          </w:rPr>
          <w:t>GR5</w:t>
        </w:r>
      </w:hyperlink>
      <w:r w:rsidRPr="2030048C">
        <w:rPr>
          <w:rFonts w:ascii="Arial" w:eastAsia="Arial" w:hAnsi="Arial" w:cs="Arial"/>
          <w:color w:val="000000"/>
          <w:sz w:val="24"/>
          <w:szCs w:val="24"/>
          <w:lang w:val="en-US" w:eastAsia="en-US"/>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(Web &amp; Mobile Application Development)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(Web &amp; Mobile Application Development)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Requirements Analysis and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Computer Science (Web &amp; Mobile Application Development)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Database-Driven Application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Programming II - Software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(Web &amp; Mobile Application Development)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ESU</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A designated Programme Administrator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EMLS– EMC's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ESOFT Student Council (ESC)</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Careers and Employability Service</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 xml:space="preserve">The students are introduced to all these mechanisms during induction sessions at the beginning of each new academic year. It is here that the level 4 students first encounter the Campus’ computer network, which includes their personal access to the </w:t>
      </w:r>
      <w:r w:rsidRPr="2030048C">
        <w:rPr>
          <w:rFonts w:ascii="Arial" w:eastAsia="Arial" w:hAnsi="Arial" w:cs="Arial"/>
          <w:sz w:val="24"/>
          <w:szCs w:val="24"/>
        </w:rPr>
        <w:t>ELMS</w:t>
      </w:r>
      <w:r w:rsidRPr="2030048C">
        <w:rPr>
          <w:rFonts w:ascii="Arial" w:eastAsia="Arial" w:hAnsi="Arial" w:cs="Arial"/>
          <w:color w:val="000000"/>
          <w:sz w:val="22"/>
          <w:szCs w:val="22"/>
        </w:rPr>
        <w:t xml:space="preserve"> and how to use it as a learning environment.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 xml:space="preserve">Students are expected to be involved in the development of their programme. On an individual level </w:t>
      </w:r>
      <w:r w:rsidRPr="2030048C">
        <w:rPr>
          <w:rFonts w:ascii="Arial" w:eastAsia="Arial" w:hAnsi="Arial" w:cs="Arial"/>
          <w:sz w:val="22"/>
          <w:szCs w:val="22"/>
        </w:rPr>
        <w:t>through</w:t>
      </w:r>
      <w:r w:rsidRPr="2030048C">
        <w:rPr>
          <w:rFonts w:ascii="Arial" w:eastAsia="Arial" w:hAnsi="Arial" w:cs="Arial"/>
          <w:color w:val="000000"/>
          <w:sz w:val="22"/>
          <w:szCs w:val="22"/>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meetings including SVC as well as by their formal and informal feedback such as end-of-module reviews.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Learning computer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1290" w:hanging="930"/>
        <w:jc w:val="left"/>
        <w:rPr>
          <w:rFonts w:ascii="Arial" w:eastAsia="Arial" w:hAnsi="Arial" w:cs="Arial"/>
          <w:sz w:val="24"/>
          <w:szCs w:val="24"/>
        </w:rPr>
      </w:pPr>
      <w:r w:rsidRPr="2030048C">
        <w:rPr>
          <w:rFonts w:ascii="Arial" w:eastAsia="Arial" w:hAnsi="Arial" w:cs="Arial"/>
          <w:sz w:val="20"/>
          <w:szCs w:val="20"/>
        </w:rPr>
        <w:t xml:space="preserve">QAA Benchmark statement website:  </w:t>
      </w:r>
      <w:hyperlink r:id="rId12" w:history="1">
        <w:r w:rsidRPr="2030048C">
          <w:rPr>
            <w:rFonts w:ascii="Arial" w:eastAsia="Arial" w:hAnsi="Arial" w:cs="Arial"/>
            <w:color w:val="000000"/>
            <w:sz w:val="22"/>
            <w:szCs w:val="22"/>
            <w:lang w:val="en-US" w:eastAsia="en-US"/>
          </w:rPr>
          <w:t>https://www.qaa.ac.uk/docs/qaa/sbs/sbs-computing-22.pdf</w:t>
        </w:r>
      </w:hyperlink>
      <w:r w:rsidRPr="2030048C">
        <w:rPr>
          <w:rFonts w:ascii="Arial" w:eastAsia="Arial" w:hAnsi="Arial" w:cs="Arial"/>
          <w:color w:val="000000"/>
          <w:sz w:val="22"/>
          <w:szCs w:val="22"/>
          <w:lang w:val="en-US" w:eastAsia="en-US"/>
        </w:rPr>
        <w:t xml:space="preserve"> </w:t>
      </w:r>
    </w:p>
    <w:p w:rsidRPr="2030048C" w:rsidP="2030048C">
      <w:pPr>
        <w:numPr>
          <w:ilvl w:val="0"/>
          <w:numId w:val="19"/>
        </w:numPr>
        <w:ind w:left="1290" w:hanging="930"/>
        <w:jc w:val="left"/>
        <w:rPr>
          <w:rFonts w:ascii="Arial" w:eastAsia="Arial" w:hAnsi="Arial" w:cs="Arial"/>
          <w:sz w:val="24"/>
          <w:szCs w:val="24"/>
        </w:rPr>
      </w:pPr>
      <w:r w:rsidRPr="2030048C">
        <w:rPr>
          <w:rFonts w:ascii="Arial" w:eastAsia="Arial" w:hAnsi="Arial" w:cs="Arial"/>
          <w:sz w:val="20"/>
          <w:szCs w:val="20"/>
        </w:rPr>
        <w:t xml:space="preserve">Professional or statutory body information:  </w:t>
      </w:r>
      <w:hyperlink r:id="rId13" w:history="1">
        <w:r w:rsidRPr="2030048C">
          <w:rPr>
            <w:rFonts w:ascii="Arial" w:eastAsia="Arial" w:hAnsi="Arial" w:cs="Arial"/>
            <w:sz w:val="22"/>
            <w:szCs w:val="22"/>
          </w:rPr>
          <w:t>http://www.bcs.org/</w:t>
        </w:r>
      </w:hyperlink>
      <w:r w:rsidRPr="2030048C">
        <w:rPr>
          <w:rFonts w:ascii="Arial" w:eastAsia="Arial" w:hAnsi="Arial" w:cs="Arial"/>
          <w:sz w:val="22"/>
          <w:szCs w:val="22"/>
        </w:rPr>
        <w:t xml:space="preserve"> </w:t>
      </w:r>
    </w:p>
    <w:p w:rsidRPr="2030048C" w:rsidP="2030048C">
      <w:pPr>
        <w:numPr>
          <w:ilvl w:val="0"/>
          <w:numId w:val="19"/>
        </w:numPr>
        <w:ind w:left="1290" w:hanging="930"/>
        <w:jc w:val="left"/>
        <w:rPr>
          <w:rFonts w:ascii="Arial" w:eastAsia="Arial" w:hAnsi="Arial" w:cs="Arial"/>
          <w:sz w:val="24"/>
          <w:szCs w:val="24"/>
        </w:rPr>
      </w:pPr>
      <w:r w:rsidRPr="2030048C">
        <w:rPr>
          <w:rFonts w:ascii="Arial" w:eastAsia="Arial" w:hAnsi="Arial" w:cs="Arial"/>
          <w:sz w:val="22"/>
          <w:szCs w:val="22"/>
        </w:rPr>
        <w:t>Guidance on Enterprise and Entrepreneurship (Draft) </w:t>
      </w:r>
      <w:hyperlink r:id="rId14" w:history="1">
        <w:r w:rsidRPr="2030048C">
          <w:rPr>
            <w:rFonts w:ascii="Arial" w:eastAsia="Arial" w:hAnsi="Arial" w:cs="Arial"/>
            <w:sz w:val="22"/>
            <w:szCs w:val="22"/>
          </w:rPr>
          <w:t>http://www.qaa.ac.uk/Publications/InformationAndGuidance/Documents/EE_Draft_Guidance.pdf</w:t>
        </w:r>
      </w:hyperlink>
    </w:p>
    <w:p w:rsidRPr="2030048C" w:rsidP="2030048C">
      <w:pPr>
        <w:numPr>
          <w:ilvl w:val="0"/>
          <w:numId w:val="19"/>
        </w:numPr>
        <w:ind w:left="1290" w:hanging="930"/>
        <w:jc w:val="left"/>
        <w:rPr>
          <w:rFonts w:ascii="Arial" w:eastAsia="Arial" w:hAnsi="Arial" w:cs="Arial"/>
          <w:sz w:val="24"/>
          <w:szCs w:val="24"/>
        </w:rPr>
      </w:pPr>
      <w:r w:rsidRPr="2030048C">
        <w:rPr>
          <w:rFonts w:ascii="Arial" w:eastAsia="Arial" w:hAnsi="Arial" w:cs="Arial"/>
          <w:sz w:val="22"/>
          <w:szCs w:val="22"/>
        </w:rPr>
        <w:t>Shadbolt review </w:t>
      </w:r>
      <w:hyperlink r:id="rId15" w:history="1">
        <w:r w:rsidRPr="2030048C">
          <w:rPr>
            <w:rFonts w:ascii="Arial" w:eastAsia="Arial" w:hAnsi="Arial" w:cs="Arial"/>
            <w:sz w:val="22"/>
            <w:szCs w:val="22"/>
          </w:rPr>
          <w:t>https://www.gov.uk/government/uploads/system/uploads/attachment_data/file/518575/ind-16-5-shadbolt-review-computer-science-graduate-employability.pdf</w:t>
        </w:r>
      </w:hyperlink>
      <w:r w:rsidRPr="2030048C">
        <w:rPr>
          <w:rFonts w:ascii="Arial" w:eastAsia="Arial" w:hAnsi="Arial" w:cs="Arial"/>
          <w:sz w:val="22"/>
          <w:szCs w:val="22"/>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02"/>
        <w:gridCol w:w="273"/>
        <w:gridCol w:w="620"/>
        <w:gridCol w:w="620"/>
        <w:gridCol w:w="620"/>
        <w:gridCol w:w="618"/>
        <w:gridCol w:w="2"/>
        <w:gridCol w:w="620"/>
        <w:gridCol w:w="620"/>
        <w:gridCol w:w="620"/>
        <w:gridCol w:w="616"/>
        <w:gridCol w:w="4"/>
        <w:gridCol w:w="620"/>
        <w:gridCol w:w="620"/>
        <w:gridCol w:w="620"/>
        <w:gridCol w:w="6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CI5320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CI6330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pStyle w:val="p"/>
        <w:jc w:val="both"/>
        <w:rPr>
          <w:rFonts w:ascii="Arial" w:eastAsia="Arial" w:hAnsi="Arial" w:cs="Arial"/>
          <w:sz w:val="24"/>
          <w:szCs w:val="24"/>
        </w:rPr>
      </w:pPr>
      <w:r w:rsidRPr="2030048C">
        <w:rPr>
          <w:rFonts w:ascii="Arial" w:eastAsia="Arial" w:hAnsi="Arial" w:cs="Arial"/>
          <w:b/>
          <w:bCs/>
          <w:sz w:val="24"/>
          <w:szCs w:val="24"/>
        </w:rPr>
        <w:t>Assessment and Feedback</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The assessment is regarded as an integral part of our learning and teaching strategy, and incorporates both assessments of and for learning. Ample opportunities are given to students for formative assessment with rapid feedback.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2030048C" w:rsidP="2030048C">
      <w:pPr>
        <w:pStyle w:val="p"/>
        <w:jc w:val="both"/>
        <w:rPr>
          <w:rFonts w:ascii="Arial" w:eastAsia="Arial" w:hAnsi="Arial" w:cs="Arial"/>
          <w:sz w:val="24"/>
          <w:szCs w:val="24"/>
        </w:rPr>
      </w:pPr>
      <w:r w:rsidRPr="2030048C">
        <w:rPr>
          <w:rFonts w:ascii="Arial" w:eastAsia="Arial" w:hAnsi="Arial" w:cs="Arial"/>
          <w:b/>
          <w:bCs/>
          <w:color w:val="1F4D78"/>
          <w:sz w:val="24"/>
          <w:szCs w:val="24"/>
        </w:rPr>
        <w:t>Inclusive Teaching Practice</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The teaching practice is guided by the AHE’s (Advance HE) principles for effective practice across subject areas, alongside Kingston University’s Inclusive Curriculum framework. In particular, a collaborative approach which creates a partnership between staff, students, employers and other stakeholders. Opportunities to ensure that the curriculum is inclusive take place at such forums as the Student Voice Committees and School Education Committee meetings,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group-based activities.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The 30-credit Capstone Individual Project consolidates independent learning skills and typically provides an opportunity to apply academic knowledge in a practical context, either through the implementation of a solution or the creation of a suitable artefact.</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s.org/" TargetMode="External"/><Relationship Id="rId18"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docs/qaa/sbs/sbs-computing-22.pdf?sfvrsn=ebb3dc81_4" TargetMode="External"/><Relationship Id="rId17" Type="http://schemas.openxmlformats.org/officeDocument/2006/relationships/numbering" Target="numbering.xml"/><Relationship Id="rId7" Type="http://schemas.openxmlformats.org/officeDocument/2006/relationships/customXml" Target="../customXml/item4.xml"/><Relationship Id="rId16"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hyperlink" Target="https://www.gov.uk/government/uploads/system/uploads/attachment_data/file/518575/ind-16-5-shadbolt-review-computer-science-graduate-employability.pdf" TargetMode="External"/><Relationship Id="rId10" Type="http://schemas.openxmlformats.org/officeDocument/2006/relationships/footer" Target="footer1.xml"/><Relationship Id="rId14" Type="http://schemas.openxmlformats.org/officeDocument/2006/relationships/hyperlink" Target="http://www.qaa.ac.uk/Publications/InformationAndGuidance/Documents/EE_Draft_Guidance.pdf"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C60A572-5B29-462F-9BC0-7997AF35872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