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BSc (Hons)</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Computer Science (Software Engineering) top-up</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24/07/2023</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04/08/2025</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Live</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01/09/2025</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13</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Engineering, Computing and the Environment</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School of Computer Science and Mathematics</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Computer Science</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ESOFT Uni (ESU), ESOFT Metro Campus (EMC)</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BSc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Computer Science (Software Engineering) top-up</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BSc Computer Science (Software Engineering)</w:t>
            </w:r>
          </w:p>
          <w:p w:rsidR="72431AC7" w:rsidP="2030048C" w14:paraId="3E314738" w14:textId="6100E87F">
            <w:pPr>
              <w:rPr>
                <w:rFonts w:ascii="Arial" w:eastAsia="Arial" w:hAnsi="Arial" w:cs="Arial"/>
                <w:b w:val="0"/>
                <w:bCs w:val="0"/>
                <w:sz w:val="24"/>
                <w:szCs w:val="24"/>
                <w:lang w:val="en-GB"/>
              </w:rPr>
            </w:pPr>
          </w:p>
          <w:p w:rsidR="72431AC7" w:rsidP="2030048C" w14:paraId="7ABC1166" w14:textId="7E0F963D">
            <w:pPr>
              <w:rPr>
                <w:rFonts w:ascii="Arial" w:eastAsia="Arial" w:hAnsi="Arial" w:cs="Arial"/>
                <w:b w:val="0"/>
                <w:bCs w:val="0"/>
                <w:sz w:val="24"/>
                <w:szCs w:val="24"/>
                <w:lang w:val="en-GB"/>
              </w:rPr>
            </w:pP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UFCSC1CSC10</w:t>
            </w:r>
          </w:p>
          <w:p w:rsidR="72431AC7" w:rsidP="2030048C" w14:paraId="6CCD9CAD"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UFCSC1CSC10</w:t>
            </w: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n/a</w:t>
            </w: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ESOFT Uni (ESU), ESOFT Metro Campus (EMC)</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ESU Colombo, ESU Kandy, ESU Jaffna and EMC Kurunagala</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Primarily campus based (up to 20% of scheduled L&amp;T hours delivered online)</w:t>
            </w: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2</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1</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4</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2</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00C447A7" w:rsidRPr="00BF1022" w:rsidP="2030048C" w14:paraId="4B08F2A9" w14:textId="36373671">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rPr>
              <w:t>1. Edexcel HND Levels: A pass in the relevant HND to include a pass in the sixteen units listed in Appendix A Table 1 and / or Table 2 below (or their equivalent) and the achievement of an overall score of 240 credit points of which 120 would be at Level 5 Or 2. Completed the 2nd year of the University Of Colombo, School Of Computing’s Bachelor of Information Technology External Degree, covering the subjects shown in Appendix-A Table 3. Or 3. Completed the British Computer Society’s (BCS) Higher Education Qualification’s (HEQ) Certificate and Diploma levels, shown in Appendix-A Table 4. Or 4. Case by case consideration of equivalent academic and professional qualifications achieved at comparable levels A minimum overall IELTS score of 6.0 with a minimum of 5.5 each element, iBT TOEFL 80 with R at 20, L at 19, S at 21 and W at 20 or equivalent is required for those for whom English is not their first language. A minimum of a Credit pass at the Sri Lankan G.C.E O/L English Language exam will also be considered as equivalent to this level. We will consider a range of alternative qualifications or experience that is equivalent to the typical offer. Applications from international students with equivalent qualifications are welcome. All applications will be subject to the Kingston University Accreditation of Prior Learning (APL) rules and regulations applicable at the time of application.</w:t>
            </w: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00A92C9B" w:rsidRPr="00BF1022" w:rsidP="2030048C" w14:paraId="749FB0F8" w14:textId="47CAF514">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rPr>
              <w:t>non-accredited programme</w:t>
            </w: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792E11A3" w:rsidP="158602C4" w14:paraId="155FC85F"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Reassessment of the project module Reassessment following failure in the CI6600 Individual Project module will normally be: o by retake to improve the dissertation for marginal failure (Grade F5 or marks of 35-39) and the mark will be capped o otherwise by repeat with a new project brief. Compensation of modules: Compensation is permitted in at most 30 credits across the programme, excluding the CI6600 Individual Project module. A module, other than CI6600, with a grade of F5 (marks of 35-39) can be compensated for a PC grade by at least 90 credits passed at that level.</w:t>
            </w: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4"/>
          <w:szCs w:val="24"/>
          <w:shd w:val="clear" w:color="auto" w:fill="FFFFFF"/>
        </w:rPr>
        <w:t>The Computer Science (Software Engineering) course has an overarching aim of producing highly trained graduates with specialized technical knowledge and a scientific mindset. These graduates should be capable of solving real-world problems, driven by passion, sustainability, and a consideration of wider socio-technical implications at all levels. Specifically, the aims are to produce graduates who:</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4"/>
          <w:szCs w:val="24"/>
          <w:shd w:val="clear" w:color="auto" w:fill="FFFFFF"/>
        </w:rPr>
        <w:t>have the required knowledge, skills and attitudes to practice as computing professionals in both industry and commerce.</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4"/>
          <w:szCs w:val="24"/>
          <w:shd w:val="clear" w:color="auto" w:fill="FFFFFF"/>
        </w:rPr>
        <w:t xml:space="preserve">are equipped to meet the academic, professional and practical requirements for membership of appropriate professional bodies. </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4"/>
          <w:szCs w:val="24"/>
          <w:shd w:val="clear" w:color="auto" w:fill="FFFFFF"/>
        </w:rPr>
        <w:t>are aware of the actual and potential range of information and computer-based systems and of the ways in which these interact with their material, human, organizational and social environments.</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4"/>
          <w:szCs w:val="24"/>
          <w:shd w:val="clear" w:color="auto" w:fill="FFFFFF"/>
        </w:rPr>
        <w:t>possess the appropriate ability and inclination and are equipped to undertake advanced studies and/or research and development in the computing and information systems disciplines.</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4"/>
          <w:szCs w:val="24"/>
          <w:shd w:val="clear" w:color="auto" w:fill="FFFFFF"/>
        </w:rPr>
        <w:t>can apply their knowledge and skills in the various contexts in which information and computer-based systems are developed.  In particular, they can both initiate and sustain a planned and disciplined personal effort when working alone and can participate effectively as a member of a team.</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4"/>
          <w:szCs w:val="24"/>
          <w:shd w:val="clear" w:color="auto" w:fill="FFFFFF"/>
        </w:rPr>
        <w:t>have an inquisitive and reflective attitude when modelling systems and understand the functional and qualitative properties of systems.</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4"/>
          <w:szCs w:val="24"/>
          <w:shd w:val="clear" w:color="auto" w:fill="FFFFFF"/>
        </w:rPr>
        <w:t xml:space="preserve">have the ability to evaluate and predict security, performance and efficiency associated system properties and their context dependencies. </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4"/>
          <w:szCs w:val="24"/>
          <w:shd w:val="clear" w:color="auto" w:fill="FFFFFF"/>
        </w:rPr>
        <w:t xml:space="preserve">understand and can articulate the legal, ethical, social, cultural and public aspects of problems and solutions. </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4"/>
          <w:szCs w:val="24"/>
          <w:shd w:val="clear" w:color="auto" w:fill="FFFFFF"/>
        </w:rPr>
        <w:t>have the capacity to acquire new knowledge and skills independently, to reflect on trends in the computing domain and to demonstrate through their actions a creative contribution.</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explain and apply essential concepts, theories, principles and practices of computer science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analyse, abstract and decompose problems to design effective solutions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develop and critically evaluate specifications for specialist computer systems and communicate these specifications to other computing professionals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explain the social, ethical, legal, commercial and other human factors that affect the design, development, deployment of computer systems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synthesise information from disparate and potentially incomplete sources to model and build systems, documents and other related artefacts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use (and, where appropriate, modify) established systems, software development methods, techniques and tools to model and build computer-based solutions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explain security issues and evaluate risk for the safe operation of computing and information systems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analyse and evaluate the extent to which a system meets the criteria for its current use and future development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collaborate and communicate effectively with other professionals/stakeholders to plan, design, manage, implement and deliver IT projects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explain the different ways in which data and information may be represented, stored and transmitted</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elicit, evaluate and model business, customer and user requirements, incorporating considerations such as sociological and commercial contexts, user experience, aesthetics and technical practicalities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implement software solutions using a variety of programming languages, environments and platforms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F"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A5</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identify the different project management approaches commonly used in the IT industry and select, modify or construct one for a given context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B5</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use different programming approaches, patterns and/or paradigms, and justify the selection of one or more for a given context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C5</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specify, design and prototype human/computer interfaces using HCI and UX theory and best practices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rPr>
          <w:rFonts w:ascii="Arial" w:eastAsia="Arial" w:hAnsi="Arial" w:cs="Arial"/>
          <w:color w:val="000000" w:themeColor="text1" w:themeShade="FF" w:themeTint="FF"/>
          <w:sz w:val="24"/>
          <w:szCs w:val="24"/>
        </w:rPr>
      </w:pPr>
      <w:r w:rsidRPr="2030048C">
        <w:rPr>
          <w:rFonts w:ascii="Arial" w:eastAsia="Arial" w:hAnsi="Arial" w:cs="Arial"/>
          <w:color w:val="000000"/>
          <w:sz w:val="24"/>
          <w:szCs w:val="24"/>
        </w:rPr>
        <w:t>BSc (Hons) Computer Science – top-up year</w:t>
      </w:r>
    </w:p>
    <w:p w:rsidRPr="2030048C" w:rsidP="2030048C">
      <w:pPr>
        <w:ind w:left="705"/>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xml:space="preserve">     </w:t>
      </w:r>
      <w:r w:rsidRPr="2030048C">
        <w:rPr>
          <w:rFonts w:ascii="Arial" w:eastAsia="Arial" w:hAnsi="Arial" w:cs="Arial"/>
          <w:b/>
          <w:bCs/>
          <w:color w:val="000000"/>
          <w:sz w:val="20"/>
          <w:szCs w:val="20"/>
        </w:rPr>
        <w:t>LEVEL 6</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tbl>
      <w:tblPr>
        <w:tblCellSpacing w:w="15" w:type="dxa"/>
        <w:tblCellMar>
          <w:top w:w="15" w:type="dxa"/>
          <w:left w:w="15" w:type="dxa"/>
          <w:bottom w:w="15" w:type="dxa"/>
          <w:right w:w="15" w:type="dxa"/>
        </w:tblCellMar>
      </w:tblPr>
      <w:tblGrid>
        <w:gridCol w:w="3192"/>
      </w:tblGrid>
      <w:tr>
        <w:tc>
          <w:tcPr>
            <w:noWrap w:val="0"/>
            <w:tcMar>
              <w:top w:w="15" w:type="dxa"/>
              <w:left w:w="15" w:type="dxa"/>
              <w:bottom w:w="15" w:type="dxa"/>
              <w:right w:w="15" w:type="dxa"/>
            </w:tcMar>
            <w:vAlign w:val="center"/>
            <w:hideMark/>
          </w:tcPr>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18"/>
                <w:szCs w:val="18"/>
              </w:rPr>
              <w:t>CI6125 Software Development Practice</w:t>
            </w:r>
          </w:p>
        </w:tc>
      </w:tr>
    </w:tbl>
    <w:p>
      <w:pPr>
        <w:rPr>
          <w:vanish/>
        </w:rPr>
      </w:pPr>
    </w:p>
    <w:tbl>
      <w:tblPr>
        <w:tblCellSpacing w:w="15" w:type="dxa"/>
        <w:tblCellMar>
          <w:top w:w="15" w:type="dxa"/>
          <w:left w:w="15" w:type="dxa"/>
          <w:bottom w:w="15" w:type="dxa"/>
          <w:right w:w="15" w:type="dxa"/>
        </w:tblCellMar>
      </w:tblPr>
      <w:tblGrid>
        <w:gridCol w:w="1301"/>
      </w:tblGrid>
      <w:tr>
        <w:tc>
          <w:tcPr>
            <w:noWrap w:val="0"/>
            <w:tcMar>
              <w:top w:w="15" w:type="dxa"/>
              <w:left w:w="15" w:type="dxa"/>
              <w:bottom w:w="15" w:type="dxa"/>
              <w:right w:w="15" w:type="dxa"/>
            </w:tcMar>
            <w:vAlign w:val="center"/>
            <w:hideMark/>
          </w:tcPr>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18"/>
                <w:szCs w:val="18"/>
              </w:rPr>
              <w:t>Level 6 Option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tc>
      </w:tr>
    </w:tbl>
    <w:p>
      <w:pPr>
        <w:rPr>
          <w:vanish/>
        </w:rPr>
      </w:pPr>
    </w:p>
    <w:tbl>
      <w:tblPr>
        <w:tblCellSpacing w:w="15" w:type="dxa"/>
        <w:tblCellMar>
          <w:top w:w="15" w:type="dxa"/>
          <w:left w:w="15" w:type="dxa"/>
          <w:bottom w:w="15" w:type="dxa"/>
          <w:right w:w="15" w:type="dxa"/>
        </w:tblCellMar>
      </w:tblPr>
      <w:tblGrid>
        <w:gridCol w:w="2041"/>
      </w:tblGrid>
      <w:tr>
        <w:tc>
          <w:tcPr>
            <w:noWrap w:val="0"/>
            <w:tcMar>
              <w:top w:w="15" w:type="dxa"/>
              <w:left w:w="15" w:type="dxa"/>
              <w:bottom w:w="15" w:type="dxa"/>
              <w:right w:w="15" w:type="dxa"/>
            </w:tcMar>
            <w:vAlign w:val="center"/>
            <w:hideMark/>
          </w:tcPr>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18"/>
                <w:szCs w:val="18"/>
              </w:rPr>
              <w:t>CI6600 Individual Project</w:t>
            </w:r>
          </w:p>
        </w:tc>
      </w:tr>
    </w:tbl>
    <w:p>
      <w:pPr>
        <w:rPr>
          <w:vanish/>
        </w:rPr>
      </w:pPr>
    </w:p>
    <w:tbl>
      <w:tblPr>
        <w:tblCellSpacing w:w="15" w:type="dxa"/>
        <w:tblCellMar>
          <w:top w:w="15" w:type="dxa"/>
          <w:left w:w="15" w:type="dxa"/>
          <w:bottom w:w="15" w:type="dxa"/>
          <w:right w:w="15" w:type="dxa"/>
        </w:tblCellMar>
      </w:tblPr>
      <w:tblGrid>
        <w:gridCol w:w="4122"/>
      </w:tblGrid>
      <w:tr>
        <w:tc>
          <w:tcPr>
            <w:noWrap w:val="0"/>
            <w:tcMar>
              <w:top w:w="15" w:type="dxa"/>
              <w:left w:w="15" w:type="dxa"/>
              <w:bottom w:w="15" w:type="dxa"/>
              <w:right w:w="15" w:type="dxa"/>
            </w:tcMar>
            <w:vAlign w:val="center"/>
            <w:hideMark/>
          </w:tcPr>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18"/>
                <w:szCs w:val="18"/>
              </w:rPr>
              <w:t xml:space="preserve">CI6115 Programming III – Patterns and Algorithms </w:t>
            </w:r>
          </w:p>
        </w:tc>
      </w:tr>
    </w:tbl>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sz w:val="24"/>
          <w:szCs w:val="24"/>
        </w:rPr>
        <w:t xml:space="preserve">Full details of each module will be provided in module descriptors and student module guides.  </w:t>
      </w:r>
    </w:p>
    <w:p w:rsidRPr="2030048C" w:rsidP="2030048C">
      <w:pPr>
        <w:jc w:val="both"/>
        <w:rPr>
          <w:rFonts w:ascii="Arial" w:eastAsia="Arial" w:hAnsi="Arial" w:cs="Arial"/>
          <w:color w:val="000000" w:themeColor="text1" w:themeShade="FF" w:themeTint="FF"/>
          <w:sz w:val="24"/>
          <w:szCs w:val="24"/>
        </w:rPr>
      </w:pPr>
      <w:r w:rsidRPr="2030048C">
        <w:rPr>
          <w:rFonts w:ascii="Arial" w:eastAsia="Arial" w:hAnsi="Arial" w:cs="Arial"/>
          <w:color w:val="000000"/>
          <w:sz w:val="24"/>
          <w:szCs w:val="24"/>
        </w:rPr>
        <w:t xml:space="preserve">Note: As per </w:t>
      </w:r>
      <w:hyperlink r:id="rId11" w:anchor="blockid21000" w:history="1">
        <w:r w:rsidRPr="2030048C">
          <w:rPr>
            <w:rFonts w:ascii="Arial" w:eastAsia="Arial" w:hAnsi="Arial" w:cs="Arial"/>
            <w:color w:val="000000"/>
            <w:sz w:val="22"/>
            <w:szCs w:val="22"/>
          </w:rPr>
          <w:t>GR5</w:t>
        </w:r>
      </w:hyperlink>
      <w:r w:rsidRPr="2030048C">
        <w:rPr>
          <w:rFonts w:ascii="Arial" w:eastAsia="Arial" w:hAnsi="Arial" w:cs="Arial"/>
          <w:color w:val="000000"/>
          <w:sz w:val="24"/>
          <w:szCs w:val="24"/>
        </w:rPr>
        <w:t xml:space="preserve"> within the general regulations, the University aims to ensure that all option modules listed below are delivered. However, for various reasons, such as demand, the availability of option modules may vary from year to year or between teaching blocks. The University will notify students by email as soon as these circumstances arise.</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BSc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Computer Science (Software Engineering) top-up</w:t>
      </w:r>
    </w:p>
    <w:p w:rsidR="008B5CAF" w:rsidRPr="008B5CAF" w:rsidP="008B5CAF" w14:paraId="22073769" w14:textId="77777777">
      <w:pPr>
        <w:rPr>
          <w:rFonts w:eastAsia="Arial"/>
        </w:rPr>
      </w:pPr>
    </w:p>
    <w:p w:rsidR="035B6837" w:rsidP="2030048C" w14:paraId="1470770A" w14:textId="113330E4">
      <w:pPr>
        <w:rPr>
          <w:rFonts w:ascii="Arial" w:eastAsia="Arial" w:hAnsi="Arial" w:cs="Arial"/>
          <w:color w:val="FF0000"/>
          <w:sz w:val="24"/>
          <w:szCs w:val="24"/>
          <w:lang w:val="en-GB"/>
        </w:rPr>
      </w:pPr>
    </w:p>
    <w:tbl>
      <w:tblPr>
        <w:tblW w:w="9061"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15"/>
        <w:gridCol w:w="810"/>
        <w:gridCol w:w="1275"/>
        <w:gridCol w:w="1440"/>
        <w:gridCol w:w="799"/>
        <w:gridCol w:w="810"/>
      </w:tblGrid>
      <w:tr w14:paraId="549E8583"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65CD886" w14:textId="3C52746D">
            <w:pPr>
              <w:rPr>
                <w:rFonts w:ascii="Arial" w:eastAsia="Arial" w:hAnsi="Arial" w:cs="Arial"/>
                <w:sz w:val="24"/>
                <w:szCs w:val="24"/>
              </w:rPr>
            </w:pPr>
            <w:r w:rsidRPr="540725A5" w:rsidR="073AEBF5">
              <w:rPr>
                <w:rFonts w:ascii="Arial" w:eastAsia="Arial" w:hAnsi="Arial" w:cs="Arial"/>
                <w:b/>
                <w:bCs/>
                <w:sz w:val="24"/>
                <w:szCs w:val="24"/>
              </w:rPr>
              <w:t>Level 6</w:t>
            </w:r>
          </w:p>
        </w:tc>
      </w:tr>
      <w:tr w14:paraId="35C8B018"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68E632" w14:textId="6F9C68D4">
            <w:pPr>
              <w:rPr>
                <w:rFonts w:ascii="Arial" w:eastAsia="Arial" w:hAnsi="Arial" w:cs="Arial"/>
                <w:sz w:val="24"/>
                <w:szCs w:val="24"/>
                <w:lang w:val="en-GB"/>
              </w:rPr>
            </w:pPr>
            <w:r w:rsidRPr="2030048C" w:rsidR="073AEBF5">
              <w:rPr>
                <w:rFonts w:ascii="Arial" w:eastAsia="Arial" w:hAnsi="Arial" w:cs="Arial"/>
                <w:b/>
                <w:bCs/>
                <w:sz w:val="24"/>
                <w:szCs w:val="24"/>
                <w:lang w:val="en-GB"/>
              </w:rPr>
              <w:t>BSc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Computer Science (Software Engineering) top-up</w:t>
            </w:r>
          </w:p>
        </w:tc>
      </w:tr>
      <w:tr w14:paraId="7FFB693D"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F16B414" w14:textId="4F4BD79F">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309A15E" w14:textId="48E8C980">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3B8B3A" w14:textId="771B73B4">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D58C6E2" w14:textId="45C2BEA2">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004ED17" w14:textId="102093DE">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A04288" w14:textId="0007E46D">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91A6C28" w14:textId="4050E839">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DF4048" w14:textId="71AF9355">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ADD6D32" w14:textId="389ADDCF">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5B322022"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47134EA" w14:textId="7CD3FD66">
            <w:pPr>
              <w:rPr>
                <w:rFonts w:ascii="Arial" w:eastAsia="Arial" w:hAnsi="Arial" w:cs="Arial"/>
                <w:sz w:val="24"/>
                <w:szCs w:val="24"/>
                <w:lang w:val="en-GB"/>
              </w:rPr>
            </w:pPr>
            <w:r w:rsidRPr="2030048C" w:rsidR="073AEBF5">
              <w:rPr>
                <w:rFonts w:ascii="Arial" w:eastAsia="Arial" w:hAnsi="Arial" w:cs="Arial"/>
                <w:sz w:val="24"/>
                <w:szCs w:val="24"/>
                <w:lang w:val="en-GB"/>
              </w:rPr>
              <w:t xml:space="preserve"> Individual Project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3297D0"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CI6600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5E88AAE"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03E4108"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ED99AC1"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1 and 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52FC5BD"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2E0EA72"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638FC404" w14:textId="24A9B0F1">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5B322023"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Programming III – Patterns and Algorithms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CI6115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5B322024"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Software Development Practice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CI6125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37361428"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2CC13E4" w14:textId="65830FDC">
            <w:pPr>
              <w:rPr>
                <w:rFonts w:ascii="Arial" w:eastAsia="Arial" w:hAnsi="Arial" w:cs="Arial"/>
                <w:sz w:val="24"/>
                <w:szCs w:val="24"/>
              </w:rPr>
            </w:pPr>
            <w:r w:rsidRPr="7AD52F4D" w:rsidR="27BD9679">
              <w:rPr>
                <w:rFonts w:ascii="Arial" w:eastAsia="Arial" w:hAnsi="Arial" w:cs="Arial"/>
                <w:b/>
                <w:bCs/>
                <w:sz w:val="24"/>
                <w:szCs w:val="24"/>
              </w:rPr>
              <w:t xml:space="preserve"> </w:t>
            </w:r>
            <w:r w:rsidRPr="7AD52F4D" w:rsidR="073AEBF5">
              <w:rPr>
                <w:rFonts w:ascii="Arial" w:eastAsia="Arial" w:hAnsi="Arial" w:cs="Arial"/>
                <w:b/>
                <w:bCs/>
                <w:sz w:val="24"/>
                <w:szCs w:val="24"/>
              </w:rPr>
              <w:t>Optional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1B06CDD" w14:textId="5C2DB6F3">
            <w:pPr>
              <w:jc w:val="center"/>
              <w:rPr>
                <w:rFonts w:ascii="Arial" w:eastAsia="Arial" w:hAnsi="Arial" w:cs="Arial"/>
                <w:sz w:val="24"/>
                <w:szCs w:val="24"/>
              </w:rPr>
            </w:pP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698EAC" w14:textId="08ED9FFD">
            <w:pPr>
              <w:jc w:val="center"/>
              <w:rPr>
                <w:rFonts w:ascii="Arial" w:eastAsia="Arial" w:hAnsi="Arial" w:cs="Arial"/>
                <w:sz w:val="24"/>
                <w:szCs w:val="24"/>
              </w:rPr>
            </w:pP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7C4D117" w14:textId="533501F2">
            <w:pPr>
              <w:jc w:val="center"/>
              <w:rPr>
                <w:rFonts w:ascii="Arial" w:eastAsia="Arial" w:hAnsi="Arial" w:cs="Arial"/>
                <w:sz w:val="24"/>
                <w:szCs w:val="24"/>
              </w:rPr>
            </w:pP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893D0C5" w14:textId="32FD975D">
            <w:pPr>
              <w:jc w:val="center"/>
              <w:rPr>
                <w:rFonts w:ascii="Arial" w:eastAsia="Arial" w:hAnsi="Arial" w:cs="Arial"/>
                <w:sz w:val="24"/>
                <w:szCs w:val="24"/>
              </w:rPr>
            </w:pP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8ECE466" w14:textId="0E0680C0">
            <w:pPr>
              <w:jc w:val="center"/>
              <w:rPr>
                <w:rFonts w:ascii="Arial" w:eastAsia="Arial" w:hAnsi="Arial" w:cs="Arial"/>
                <w:sz w:val="24"/>
                <w:szCs w:val="24"/>
              </w:rPr>
            </w:pP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B68E0DD" w14:textId="1BB1B27E">
            <w:pPr>
              <w:jc w:val="center"/>
              <w:rPr>
                <w:rFonts w:ascii="Arial" w:eastAsia="Arial" w:hAnsi="Arial" w:cs="Arial"/>
                <w:sz w:val="24"/>
                <w:szCs w:val="24"/>
              </w:rPr>
            </w:pP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0B40476" w14:textId="1C37987F">
            <w:pPr>
              <w:jc w:val="center"/>
              <w:rPr>
                <w:rFonts w:ascii="Arial" w:eastAsia="Arial" w:hAnsi="Arial" w:cs="Arial"/>
                <w:sz w:val="24"/>
                <w:szCs w:val="24"/>
              </w:rPr>
            </w:pPr>
          </w:p>
        </w:tc>
      </w:tr>
      <w:tr w14:paraId="48931149"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A0BF11B" w14:textId="7E05B115">
            <w:pPr>
              <w:rPr>
                <w:rFonts w:ascii="Arial" w:eastAsia="Arial" w:hAnsi="Arial" w:cs="Arial"/>
                <w:sz w:val="24"/>
                <w:szCs w:val="24"/>
                <w:lang w:val="en-GB"/>
              </w:rPr>
            </w:pPr>
            <w:r w:rsidRPr="2030048C" w:rsidR="073AEBF5">
              <w:rPr>
                <w:rFonts w:ascii="Arial" w:eastAsia="Arial" w:hAnsi="Arial" w:cs="Arial"/>
                <w:sz w:val="24"/>
                <w:szCs w:val="24"/>
                <w:lang w:val="en-GB"/>
              </w:rPr>
              <w:t>Advanced Data Modelling</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10CE861"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CI6320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9BE22D9"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102E73B"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9F14E4F"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34CC5E4"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0E3D87D"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5926FCFD" w14:textId="24C12581">
            <w:pPr>
              <w:jc w:val="center"/>
              <w:rPr>
                <w:rFonts w:ascii="Arial" w:eastAsia="Arial" w:hAnsi="Arial" w:cs="Arial"/>
                <w:sz w:val="24"/>
                <w:szCs w:val="24"/>
              </w:rPr>
            </w:pPr>
            <w:r w:rsidRPr="574CD144" w:rsidR="073AEBF5">
              <w:rPr>
                <w:rFonts w:ascii="Arial" w:eastAsia="Arial" w:hAnsi="Arial" w:cs="Arial"/>
                <w:sz w:val="24"/>
                <w:szCs w:val="24"/>
              </w:rPr>
              <w:t>2</w:t>
            </w:r>
          </w:p>
        </w:tc>
      </w:tr>
      <w:tr w14:paraId="4893114A"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Cryptography and Network Security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CI6015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r w:rsidRPr="574CD144" w:rsidR="073AEBF5">
              <w:rPr>
                <w:rFonts w:ascii="Arial" w:eastAsia="Arial" w:hAnsi="Arial" w:cs="Arial"/>
                <w:sz w:val="24"/>
                <w:szCs w:val="24"/>
              </w:rPr>
              <w:t>2</w:t>
            </w:r>
          </w:p>
        </w:tc>
      </w:tr>
      <w:tr w14:paraId="4893114B"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Digital Entrepreneurship</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CI6415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r w:rsidRPr="574CD144" w:rsidR="073AEBF5">
              <w:rPr>
                <w:rFonts w:ascii="Arial" w:eastAsia="Arial" w:hAnsi="Arial" w:cs="Arial"/>
                <w:sz w:val="24"/>
                <w:szCs w:val="24"/>
              </w:rPr>
              <w:t>2</w:t>
            </w:r>
          </w:p>
        </w:tc>
      </w:tr>
      <w:tr w14:paraId="4893114C"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Mobile Application Development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CI6330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r w:rsidRPr="574CD144" w:rsidR="073AEBF5">
              <w:rPr>
                <w:rFonts w:ascii="Arial" w:eastAsia="Arial" w:hAnsi="Arial" w:cs="Arial"/>
                <w:sz w:val="24"/>
                <w:szCs w:val="24"/>
              </w:rPr>
              <w:t>2</w:t>
            </w:r>
          </w:p>
        </w:tc>
      </w:tr>
    </w:tbl>
    <w:p w:rsidR="66934EB1" w:rsidP="5C72847F" w14:paraId="0859BEA6" w14:textId="4EC83693">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184A5A93" w14:textId="5FC3631A">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6DF80A31">
        <w:rPr>
          <w:rFonts w:ascii="Arial" w:eastAsia="Arial" w:hAnsi="Arial" w:cs="Arial"/>
          <w:color w:val="000000" w:themeColor="text1" w:themeShade="FF" w:themeTint="FF"/>
          <w:sz w:val="24"/>
          <w:szCs w:val="24"/>
        </w:rPr>
        <w:t>Exit Awards at Level 6</w:t>
      </w:r>
    </w:p>
    <w:p w:rsidR="66934EB1" w:rsidP="5C72847F" w14:paraId="1CF3416B" w14:textId="1812B43E">
      <w:pPr>
        <w:rPr>
          <w:rFonts w:ascii="Arial" w:eastAsia="Arial" w:hAnsi="Arial" w:cs="Arial"/>
          <w:color w:val="0070C0"/>
          <w:sz w:val="24"/>
          <w:szCs w:val="24"/>
        </w:rPr>
      </w:pPr>
    </w:p>
    <w:p w:rsidR="6DF80A31" w:rsidRPr="2030048C" w:rsidP="2030048C" w14:paraId="5E579705" w14:textId="25B67DE5">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without completing the full 120 credits but have successfully completed 60 credits at level 6 or above are eligible for the award of an Ordinary Degree.</w:t>
      </w:r>
    </w:p>
    <w:p w:rsidR="66934EB1" w:rsidP="2030048C" w14:textId="25B67DE5">
      <w:pPr>
        <w:rPr>
          <w:rFonts w:ascii="Arial" w:eastAsia="Arial" w:hAnsi="Arial" w:cs="Arial"/>
          <w:color w:val="000000" w:themeColor="text1"/>
          <w:sz w:val="24"/>
          <w:szCs w:val="24"/>
          <w:lang w:val="en-GB"/>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rPr>
          <w:rFonts w:ascii="Arial" w:eastAsia="Arial" w:hAnsi="Arial" w:cs="Arial"/>
          <w:sz w:val="24"/>
          <w:szCs w:val="24"/>
        </w:rPr>
      </w:pPr>
      <w:r w:rsidRPr="2030048C">
        <w:rPr>
          <w:rFonts w:ascii="Arial" w:eastAsia="Arial" w:hAnsi="Arial" w:cs="Arial"/>
          <w:sz w:val="24"/>
          <w:szCs w:val="24"/>
        </w:rPr>
        <w:t>This course uses a range of teaching and assessment methods which have been designed to support students’ learning and achievement of the learning outcomes. The course has been developed with reference to the Kingston University Academic Framework which sets-out core principles relating to Course and Credit Structure (including Module delivery Structure and Pattern, and Learning Hours and Learning Formats); Curriculum Design (inclusion Learning Design Principles and Inclusive Curriculum); and Future Skills.</w:t>
      </w:r>
    </w:p>
    <w:p w:rsidRPr="2030048C" w:rsidP="2030048C">
      <w:pPr>
        <w:ind w:left="570"/>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Teaching and Learning on the course consist of Scheduled Learning and Teaching and Guided Independent Study (self-managed time). Scheduled Learning and Teaching includes the following, and the format for each module is set out in the module specification:</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Laboratory Sessions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Lectures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Seminars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Tutorials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Workshops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Placements</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Guidance for students on the use of independent study time is communicated through the ‘Succeed in your module’ section on the Canvas Virtual Learning Environment and through other communications during the course.</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In addition to the core Scheduled Learning and Teaching activities for the course, the University may offer students additional optional opportunities for learning. Examples of these include Study abroad and Work-based learning.</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The course will provide students with the opportunity to develop their knowledge and skills relating to at least two United Nations Sustainable Development Goals (UN SDGs). We are committed to empowering students with the knowledge, skills and opportunities to understand and address the UN SDGs: each course is thus also required to prepare students for at least two of the SDGs (not including Quality Education, which all courses must deliver).</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sz w:val="24"/>
          <w:szCs w:val="24"/>
        </w:rPr>
        <w:t>Students are supported through a range of services that provide academic and wider support. These include:</w:t>
      </w:r>
    </w:p>
    <w:p w:rsidRPr="2030048C" w:rsidP="2030048C">
      <w:pPr>
        <w:ind w:left="570"/>
        <w:rPr>
          <w:rFonts w:ascii="Arial" w:eastAsia="Arial" w:hAnsi="Arial" w:cs="Arial"/>
          <w:sz w:val="24"/>
          <w:szCs w:val="24"/>
        </w:rPr>
      </w:pPr>
      <w:r w:rsidRPr="2030048C">
        <w:rPr>
          <w:rFonts w:ascii="Arial" w:eastAsia="Arial" w:hAnsi="Arial" w:cs="Arial"/>
          <w:sz w:val="24"/>
          <w:szCs w:val="24"/>
        </w:rPr>
        <w:t> </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A Module Leader for each module</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A Course Leader to help students understand the course structure</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Personal Tutors to provide academic and personal support</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Technical support to advise students on IT and the use of software</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Student Voice Committee – to ensure the views of students are heard</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Canvas – Kingston University’s Virtual Learning Environment</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Student support facilities that can provide advice on issues such as finance, regulations, legal matters, accommodation, international student support</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Disabled student support</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The Kingston Students’ Union</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Student Development and Graduate Success</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4"/>
          <w:szCs w:val="24"/>
        </w:rPr>
        <w:t>The University has policies and procedures for evaluating and improving the quality and standards of its provision. These include:</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Continuous Monitoring of courses through the Kingston Course Enhancement Programme (KCEP)</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Student evaluation including Module Evaluation Questionnaires (MEQs), the National Student Survey (NSS)</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Internal and external moderation</w:t>
      </w:r>
      <w:r w:rsidRPr="2030048C">
        <w:rPr>
          <w:rFonts w:ascii="Arial" w:eastAsia="Arial" w:hAnsi="Arial" w:cs="Arial"/>
          <w:sz w:val="24"/>
          <w:szCs w:val="24"/>
        </w:rPr>
        <w:t> of graded assignments</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External reference points which have informed the design of the course. These include:</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QAA Subject benchmarks</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Other subject or industry standards</w:t>
      </w:r>
    </w:p>
    <w:p w:rsidRPr="2030048C" w:rsidP="2030048C">
      <w:pPr>
        <w:rPr>
          <w:rFonts w:ascii="Arial" w:eastAsia="Arial" w:hAnsi="Arial" w:cs="Arial"/>
          <w:sz w:val="24"/>
          <w:szCs w:val="24"/>
        </w:rPr>
      </w:pPr>
      <w:r w:rsidRPr="2030048C">
        <w:rPr>
          <w:rFonts w:ascii="Arial" w:eastAsia="Arial" w:hAnsi="Arial" w:cs="Arial"/>
          <w:sz w:val="24"/>
          <w:szCs w:val="24"/>
        </w:rPr>
        <w:t> </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3345"/>
        <w:gridCol w:w="367"/>
        <w:gridCol w:w="835"/>
        <w:gridCol w:w="835"/>
        <w:gridCol w:w="835"/>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6</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CI6600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CI6115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CI6125</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bl>
    <w:p w:rsidR="00CE2BD2"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0184B557" w:rsidP="2030048C" w14:paraId="0E005814"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multilevel"/>
    <w:tmpl w:val="74989B07"/>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numbering" Target="numbering.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hyperlink" Target="https://www.kingston.ac.uk/aboutkingstonuniversity/howtheuniversityworks/policiesandregulations/" TargetMode="External"/><Relationship Id="rId6" Type="http://schemas.openxmlformats.org/officeDocument/2006/relationships/customXml" Target="../customXml/item3.xml"/><Relationship Id="rId10" Type="http://schemas.openxmlformats.org/officeDocument/2006/relationships/footer" Target="footer1.xm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EE68256A-9D9F-4079-86EB-068152D4DB5D}"/>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ies>
</file>