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Computer Science (Network &amp; Network Security)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06/08/2025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28/08/2025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(Network &amp; Network Security)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Computer Science (Network &amp; Network Security)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Computer Science (Network &amp; Network Security)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Computer Science (Network &amp; Network Security)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UFCSN1CSN21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ESU Colombo and ESU Kandy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Three Passes in one sitting at one of the following examinations or equivalent foreign qualifications</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G.C.E. (A/L) – conducted by the Department of Examinations, Sri Lanka </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G.C.E. (A/L) – conducted by Pearson Edexcel, UK (London A/L) </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International (A/L) IGCSE’s – conducted by Pearson Edexcel, UK </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 E. (A/L) – conducted by Cambridge International Examinations, UK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OR</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ESOFT International Foundation Diploma.</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overall IELTS score of 6.0 with a minimum of 5.5 each element, iBT TOEFL 80 with R at 20, L at 19, S at 21 and W at 20 or equivalent is required for those for whom English is not their first language.  A minimum of a Credit pass at the Sri Lankan G.C.E O/L English Language exam will also be considered as equivalent to this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will consider a range of alternative qualifications or experience that is equivalent to the typical offer. Applications from international students with equivalent qualifications are welcome.</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Style w:val="MsoTableGrid"/>
              <w:tblCellSpacing w:w="15" w:type="dxa"/>
              <w:tblCellMar>
                <w:top w:w="15" w:type="dxa"/>
                <w:left w:w="15" w:type="dxa"/>
                <w:bottom w:w="15" w:type="dxa"/>
                <w:right w:w="15" w:type="dxa"/>
              </w:tblCellMar>
              <w:tblLook w:val="05E0"/>
            </w:tblPr>
            <w:tblGrid>
              <w:gridCol w:w="3028"/>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Non-accredited programme </w:t>
                  </w:r>
                </w:p>
              </w:tc>
            </w:tr>
          </w:tbl>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15"/>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Produce graduates with the knowledge, skills, and professional attitudes needed to work effectively in computing roles across industry and commerce.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to meet the academic, professional, and practical requirements for membership of relevant bodies, such as the British Computer Society.</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understanding of the scope and impact of computer-based systems and their interactions with human, organisational, and social environments.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advanced study, research, or development within computing and information systems.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 ability to apply knowledge in diverse contexts, both independently and collaboratively within teams.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Encourage a reflective mindset and inquisitiveness in system modelling, with insight into functional and qualitative system properties.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Build the capacity to evaluate and predict key system attributes, such as security, performance, and efficiency, within varying contexts.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Promote awareness of the legal, ethical, social, and cultural dimensions of computing problems and solutions.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lifelong learning by nurturing the ability to acquire new skills independently, adapt to emerging trends, and contribute creatively to the field.</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and apply essential concepts, theories, principles and practices of computer networking and network security.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abstract and decompose problems to design effective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critically evaluate specifications for specialist network and security systems, and effectively communicate these specifications to other computing and security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the social, ethical, legal, commercial and other human factors that affect the design, development, deployment, and security of computer networks and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from disparate and potentially incomplete sources to model and build systems, documents and other related artefacts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Use (and, where appropriate, modify) established network configuration, security assessment, and system development methods, techniques, and tools to build and secure network-based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security issues and evaluate risk for the safe operation of computing and information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evaluate the extent to which a network or security system meets performance, security, and operational criteria for its current use and future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communicate effectively with other professionals/stakeholders to plan, design, manage, implement and deliver IT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com[pare the different ways in which data and information may be represented, stored and transmitted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elicit, evaluate and model business, customer and user requirements, incorporating considerations such as sociological and commercial contexts, user experience, aesthetics and technical practicalities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software solutions using a variety of programming languages, environments and platforms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different project management approaches commonly used in the IT industry and select, modify or construct one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security policies, standards, and practices, proposing improvements based on current industry best practices and emerging threats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network vulnerability assessments, penetration tests, and incident response activities following industry best practices and ethical guidelines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ind w:left="15"/>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Note: As per </w:t>
      </w:r>
      <w:hyperlink r:id="rId11" w:anchor="blockid21000" w:history="1">
        <w:r w:rsidRPr="2030048C">
          <w:rPr>
            <w:rFonts w:ascii="Arial" w:eastAsia="Arial" w:hAnsi="Arial" w:cs="Arial"/>
            <w:color w:val="000000"/>
            <w:sz w:val="24"/>
            <w:szCs w:val="24"/>
          </w:rPr>
          <w:t>GR5</w:t>
        </w:r>
      </w:hyperlink>
      <w:r w:rsidRPr="2030048C">
        <w:rPr>
          <w:rFonts w:ascii="Arial" w:eastAsia="Arial" w:hAnsi="Arial" w:cs="Arial"/>
          <w:color w:val="000000"/>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(Network &amp; Network Security)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 (Network &amp; Network Security)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Computing Fundamentals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Programming I – Thinking Like a Programmer</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Requirements Analysis and Design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Computer Science (Network &amp; Network Security)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Computing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Database-Driven Application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Networking Concepts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 (Network &amp; Network Security)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Data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CI6416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Cryptography and Network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ESU</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Internet Services and Protocols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ind w:right="90"/>
        <w:rPr>
          <w:rFonts w:ascii="Arial" w:eastAsia="Arial" w:hAnsi="Arial" w:cs="Arial"/>
          <w:sz w:val="24"/>
          <w:szCs w:val="24"/>
        </w:rPr>
      </w:pPr>
      <w:r w:rsidRPr="2030048C">
        <w:rPr>
          <w:rFonts w:ascii="Arial" w:eastAsia="Arial" w:hAnsi="Arial" w:cs="Arial"/>
          <w:color w:val="000000"/>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15" w:right="90"/>
        <w:rPr>
          <w:rFonts w:ascii="Arial" w:eastAsia="Arial" w:hAnsi="Arial" w:cs="Arial"/>
          <w:sz w:val="24"/>
          <w:szCs w:val="24"/>
        </w:rPr>
      </w:pPr>
      <w:r w:rsidRPr="2030048C">
        <w:rPr>
          <w:rFonts w:ascii="Arial" w:eastAsia="Arial" w:hAnsi="Arial" w:cs="Arial"/>
          <w:sz w:val="24"/>
          <w:szCs w:val="24"/>
        </w:rPr>
        <w:t> </w:t>
      </w:r>
    </w:p>
    <w:p w:rsidRPr="2030048C" w:rsidP="2030048C">
      <w:pPr>
        <w:ind w:right="90"/>
        <w:rPr>
          <w:rFonts w:ascii="Arial" w:eastAsia="Arial" w:hAnsi="Arial" w:cs="Arial"/>
          <w:sz w:val="24"/>
          <w:szCs w:val="24"/>
        </w:rPr>
      </w:pPr>
      <w:r w:rsidRPr="2030048C">
        <w:rPr>
          <w:rFonts w:ascii="Arial" w:eastAsia="Arial" w:hAnsi="Arial" w:cs="Arial"/>
          <w:color w:val="000000"/>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ind w:right="90"/>
        <w:rPr>
          <w:rFonts w:ascii="Arial" w:eastAsia="Arial" w:hAnsi="Arial" w:cs="Arial"/>
          <w:sz w:val="24"/>
          <w:szCs w:val="24"/>
        </w:rPr>
      </w:pPr>
      <w:r w:rsidRPr="2030048C">
        <w:rPr>
          <w:rFonts w:ascii="Arial" w:eastAsia="Arial" w:hAnsi="Arial" w:cs="Arial"/>
          <w:sz w:val="24"/>
          <w:szCs w:val="24"/>
        </w:rPr>
        <w:t> </w:t>
      </w:r>
    </w:p>
    <w:p w:rsidRPr="2030048C" w:rsidP="2030048C">
      <w:pPr>
        <w:ind w:right="90"/>
        <w:rPr>
          <w:rFonts w:ascii="Arial" w:eastAsia="Arial" w:hAnsi="Arial" w:cs="Arial"/>
          <w:sz w:val="24"/>
          <w:szCs w:val="24"/>
        </w:rPr>
      </w:pPr>
      <w:r w:rsidRPr="2030048C">
        <w:rPr>
          <w:rFonts w:ascii="Arial" w:eastAsia="Arial" w:hAnsi="Arial" w:cs="Arial"/>
          <w:color w:val="000000"/>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ind w:right="90"/>
        <w:rPr>
          <w:rFonts w:ascii="Arial" w:eastAsia="Arial" w:hAnsi="Arial" w:cs="Arial"/>
          <w:sz w:val="24"/>
          <w:szCs w:val="24"/>
        </w:rPr>
      </w:pPr>
      <w:r w:rsidRPr="2030048C">
        <w:rPr>
          <w:rFonts w:ascii="Arial" w:eastAsia="Arial" w:hAnsi="Arial" w:cs="Arial"/>
          <w:sz w:val="24"/>
          <w:szCs w:val="24"/>
        </w:rPr>
        <w:t> </w:t>
      </w:r>
    </w:p>
    <w:p w:rsidRPr="2030048C" w:rsidP="2030048C">
      <w:pPr>
        <w:ind w:right="90"/>
        <w:rPr>
          <w:rFonts w:ascii="Arial" w:eastAsia="Arial" w:hAnsi="Arial" w:cs="Arial"/>
          <w:sz w:val="24"/>
          <w:szCs w:val="24"/>
        </w:rPr>
      </w:pPr>
      <w:r w:rsidRPr="2030048C">
        <w:rPr>
          <w:rFonts w:ascii="Arial" w:eastAsia="Arial" w:hAnsi="Arial" w:cs="Arial"/>
          <w:color w:val="000000"/>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EMLS– EMC's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ESOFT Student Council (ESC)</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rPr>
          <w:rFonts w:ascii="Arial" w:eastAsia="Arial" w:hAnsi="Arial" w:cs="Arial"/>
          <w:sz w:val="24"/>
          <w:szCs w:val="24"/>
        </w:rPr>
      </w:pPr>
      <w:r w:rsidRPr="2030048C">
        <w:rPr>
          <w:rFonts w:ascii="Arial" w:eastAsia="Arial" w:hAnsi="Arial" w:cs="Arial"/>
          <w:sz w:val="24"/>
          <w:szCs w:val="24"/>
        </w:rPr>
        <w:t>The students are introduced to all these mechanisms during induction sessions at the beginning of each new academic year. It is here that the level 4 students first encounter the Campus’ computer network, which includes their personal access to the ELMS and how to use it as a learning environment.</w:t>
      </w:r>
    </w:p>
    <w:p w:rsidRPr="2030048C" w:rsidP="2030048C">
      <w:pPr>
        <w:rPr>
          <w:rFonts w:ascii="Arial" w:eastAsia="Arial" w:hAnsi="Arial" w:cs="Arial"/>
          <w:sz w:val="24"/>
          <w:szCs w:val="24"/>
        </w:rPr>
      </w:pPr>
      <w:r w:rsidRPr="2030048C">
        <w:rPr>
          <w:rFonts w:ascii="Arial" w:eastAsia="Arial" w:hAnsi="Arial" w:cs="Arial"/>
          <w:sz w:val="24"/>
          <w:szCs w:val="24"/>
        </w:rPr>
        <w:t>Students are expected to be involved in the development of their programme. On an individual level through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meetings including SVC as well as by their formal and informal feedback such as end-of-module reviews.</w:t>
      </w:r>
    </w:p>
    <w:p w:rsidRPr="2030048C" w:rsidP="2030048C">
      <w:pPr>
        <w:rPr>
          <w:rFonts w:ascii="Arial" w:eastAsia="Arial" w:hAnsi="Arial" w:cs="Arial"/>
          <w:sz w:val="24"/>
          <w:szCs w:val="24"/>
        </w:rPr>
      </w:pPr>
      <w:r w:rsidRPr="2030048C">
        <w:rPr>
          <w:rFonts w:ascii="Arial" w:eastAsia="Arial" w:hAnsi="Arial" w:cs="Arial"/>
          <w:sz w:val="24"/>
          <w:szCs w:val="24"/>
        </w:rPr>
        <w:t>Learning cyber security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rsidRPr="2030048C" w:rsidP="2030048C">
      <w:pPr>
        <w:rPr>
          <w:rFonts w:ascii="Arial" w:eastAsia="Arial" w:hAnsi="Arial" w:cs="Arial"/>
          <w:sz w:val="24"/>
          <w:szCs w:val="24"/>
        </w:rPr>
      </w:pPr>
      <w:r w:rsidRPr="2030048C">
        <w:rPr>
          <w:rFonts w:ascii="Arial" w:eastAsia="Arial" w:hAnsi="Arial" w:cs="Arial"/>
          <w:sz w:val="24"/>
          <w:szCs w:val="24"/>
        </w:rPr>
        <w:t>Students are encouraged to develop as independent learners as they progress through their degree course. This is supported explicitly through, for example, the strand of professional skills modules culminating in the individual project in the final year</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 xml:space="preserve">QAA Benchmark statement website:  </w:t>
      </w:r>
      <w:hyperlink r:id="rId12" w:history="1">
        <w:r w:rsidRPr="2030048C">
          <w:rPr>
            <w:rFonts w:ascii="Arial" w:eastAsia="Arial" w:hAnsi="Arial" w:cs="Arial"/>
            <w:color w:val="000000"/>
            <w:sz w:val="24"/>
            <w:szCs w:val="24"/>
            <w:lang w:val="en-US" w:eastAsia="en-US"/>
          </w:rPr>
          <w:t>https://www.qaa.ac.uk/docs/qaa/sbs/sbs-computing-22.pdf</w:t>
        </w:r>
      </w:hyperlink>
      <w:r w:rsidRPr="2030048C">
        <w:rPr>
          <w:rFonts w:ascii="Arial" w:eastAsia="Arial" w:hAnsi="Arial" w:cs="Arial"/>
          <w:color w:val="000000"/>
          <w:sz w:val="24"/>
          <w:szCs w:val="24"/>
          <w:lang w:val="en-US" w:eastAsia="en-US"/>
        </w:rPr>
        <w:t xml:space="preserve">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 xml:space="preserve">Professional or statutory body information:  </w:t>
      </w:r>
      <w:hyperlink r:id="rId13" w:history="1">
        <w:r w:rsidRPr="2030048C">
          <w:rPr>
            <w:rFonts w:ascii="Arial" w:eastAsia="Arial" w:hAnsi="Arial" w:cs="Arial"/>
            <w:sz w:val="24"/>
            <w:szCs w:val="24"/>
          </w:rPr>
          <w:t>http://www.bcs.org/</w:t>
        </w:r>
      </w:hyperlink>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Guidance on Enterprise and Entrepreneurship (Draft) </w:t>
      </w:r>
      <w:hyperlink r:id="rId14" w:history="1">
        <w:r w:rsidRPr="2030048C">
          <w:rPr>
            <w:rFonts w:ascii="Arial" w:eastAsia="Arial" w:hAnsi="Arial" w:cs="Arial"/>
            <w:sz w:val="24"/>
            <w:szCs w:val="24"/>
          </w:rPr>
          <w:t>http://www.qaa.ac.uk/Publications/InformationAndGuidance/Documents/EE_Draft_Guidance.pdf</w:t>
        </w:r>
      </w:hyperlink>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Shadbolt review </w:t>
      </w:r>
      <w:hyperlink r:id="rId15" w:history="1">
        <w:r w:rsidRPr="2030048C">
          <w:rPr>
            <w:rFonts w:ascii="Arial" w:eastAsia="Arial" w:hAnsi="Arial" w:cs="Arial"/>
            <w:sz w:val="24"/>
            <w:szCs w:val="24"/>
          </w:rPr>
          <w:t>https://www.gov.uk/government/uploads/system/uploads/attachment_data/file/518575/ind-16-5-shadbolt-review-computer-science-graduate-employability.pdf</w:t>
        </w:r>
      </w:hyperlink>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19"/>
        <w:gridCol w:w="255"/>
        <w:gridCol w:w="580"/>
        <w:gridCol w:w="580"/>
        <w:gridCol w:w="580"/>
        <w:gridCol w:w="579"/>
        <w:gridCol w:w="1"/>
        <w:gridCol w:w="580"/>
        <w:gridCol w:w="580"/>
        <w:gridCol w:w="580"/>
        <w:gridCol w:w="578"/>
        <w:gridCol w:w="2"/>
        <w:gridCol w:w="580"/>
        <w:gridCol w:w="580"/>
        <w:gridCol w:w="580"/>
        <w:gridCol w:w="580"/>
        <w:gridCol w:w="57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CI4305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CI4450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CI5320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CI5210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CI6416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cs.org/" TargetMode="External"/><Relationship Id="rId18"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docs/qaa/sbs/sbs-computing-22.pdf?sfvrsn=ebb3dc81_4" TargetMode="External"/><Relationship Id="rId17" Type="http://schemas.openxmlformats.org/officeDocument/2006/relationships/numbering" Target="numbering.xml"/><Relationship Id="rId7" Type="http://schemas.openxmlformats.org/officeDocument/2006/relationships/customXml" Target="../customXml/item4.xml"/><Relationship Id="rId16" Type="http://schemas.openxmlformats.org/officeDocument/2006/relationships/theme" Target="theme/theme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hyperlink" Target="https://www.gov.uk/government/uploads/system/uploads/attachment_data/file/518575/ind-16-5-shadbolt-review-computer-science-graduate-employability.pdf" TargetMode="External"/><Relationship Id="rId10" Type="http://schemas.openxmlformats.org/officeDocument/2006/relationships/footer" Target="footer1.xml"/><Relationship Id="rId14" Type="http://schemas.openxmlformats.org/officeDocument/2006/relationships/hyperlink" Target="http://www.qaa.ac.uk/Publications/InformationAndGuidance/Documents/EE_Draft_Guidance.pdf"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A032CD6-4896-45FE-B2DD-B62F3CD467E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