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 Engineering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Robotic Engineering and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Robotic Engineering and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 Robotic Engineering and Artificial Intelligence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UFRAI1RAI21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 (Not required for partner)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 Chinatown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 the acquisition of Future Skills that businesses value, the general aim of the Robotic Engineering and Artificial Intelligence course is to equip students with the theoretical and practical knowledge necessary to design, analyse and implement robotic systems powered by cutting-edge artificial intelligence technologies, preparing students for career paths in fields such as robotics, automation, artificial intelligence development and advanced manufacturing in our increasingly interconnected and technologically advanced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comprehensive modules throughout the programme that span across various disciplines within the field of robotic engineering and artificial intelligence.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along with their ability to evaluate evidence, assumptions and artificial intelligence ethics to reach sound judgements, and to effectively communicate their ideas in this technological domain.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top-tier artificial intelligence and robotics professionals.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the artificial intelligence and robotics industry and related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a comprehensive understanding of key aspects of robotic systems and artificial intelligence as well as the creativity and technical skills to solve design and programming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ethics and health and safety within the robotic and artificial intelligence disciplines, and the reflective skills to continually develop themselves professionally.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robotic and artificial intelligence-driven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robotic systems and artificial intelligence algorithms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robotic engineering and artificial intelligence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robotic systems and artificial intelligence components and algorithms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robotic systems and artificial intelligence, including power management, control algorithms and communication protocols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robotic systems and artificial intelligence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robotic components and systems, recognising their limitations, and understand the principles of artificial intelligence implementations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Demonstrate knowledge of materials, devices and technologies used in robotic engineering and artificial intelligence, and their limitations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robotic engineering and artificial intelligence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robotic systems and artificial intelligence algorithms,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data transmission and machine learning algorithms to analyse and design robust communication systems for robotic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robotic systems and artificial intelligence algorithms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to prototype and test robotic systems and artificial intelligence algorithms,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robotic systems and artificial intelligence applications, designing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robotic engineering and artificial intelligence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robotic engineering and artificial intelligence,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robotic engineering and artificial intelligence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matters related to robotic engineering and artificial intelligence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 principles of coding and algorithms for signal processing, image recognition, data analysis and control in the context of robotic systems and artificial intelligence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 in robotic engineering and artificial intelligence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robotic engineering and artificial intelligence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undergraduate Robotic Engineering and Artificial Intelligence programme at Kingston University is structured around four main themes designed to provide students with a comprehensive understanding of robotic systems and artificial intelligence (AI) principles and practices. The first theme focuses on developing a solid foundation in core engineering concepts such as robot mechanics, programming, control systems and artificial intelligence principles, which are essential for solving complex problems in the field. The second theme broadens students’ knowledge base by introducing them to advanced topics such as machine learning, autonomous systems, computer vision and sensor fusion. The third theme is dedicated to introducing students to the professional practice of robotic engineering and Artificial Intelligence (AI), covering topics such as project management, quality assurance, business management and AI ethics. Finally, the programme incorporates a strong design theme that is woven throughout all the other themes. This theme emphasises the importance of a systems approach to engineering design and the development of practical skills such as communication, teamwork, problem-solving, and design thinking in the context of robotics and artificial intelligence.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The course accreditation by IMechE signifies that our programmes adhere to the highest standards of education and provide a clear pathway towards achieving Chartered Engineer status. The MEng courses fully meet the exemplifying academic benchmark requirements for registration as a Chartered Engineer (CEng). The University provides students with relevant regulations and specific requirements for accreditation by external professional or statutory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Design and Manufacture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Electronics, Robotics and AI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Robotic Engineering and 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Control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Robotic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Machine Learning and Computer Vision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Robotic Modelling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5 to Level 6 with 90 credits at Level 5 or above. The outstanding 30 credits from Level 5 can be trailed into Level 6 and must be passed before consideration for an award or progression to level 7. 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Robot Motion Planning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0"/>
        <w:gridCol w:w="232"/>
        <w:gridCol w:w="1"/>
        <w:gridCol w:w="595"/>
        <w:gridCol w:w="1"/>
        <w:gridCol w:w="595"/>
        <w:gridCol w:w="1"/>
        <w:gridCol w:w="586"/>
        <w:gridCol w:w="1"/>
        <w:gridCol w:w="586"/>
        <w:gridCol w:w="1"/>
        <w:gridCol w:w="586"/>
        <w:gridCol w:w="1"/>
        <w:gridCol w:w="586"/>
        <w:gridCol w:w="1"/>
        <w:gridCol w:w="586"/>
        <w:gridCol w:w="1"/>
        <w:gridCol w:w="603"/>
        <w:gridCol w:w="1"/>
        <w:gridCol w:w="1"/>
        <w:gridCol w:w="585"/>
        <w:gridCol w:w="1"/>
        <w:gridCol w:w="586"/>
        <w:gridCol w:w="1"/>
        <w:gridCol w:w="586"/>
        <w:gridCol w:w="1"/>
        <w:gridCol w:w="586"/>
        <w:gridCol w:w="1"/>
        <w:gridCol w:w="5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January and May intakes</w:t>
      </w:r>
    </w:p>
    <w:p w:rsidRPr="2030048C" w:rsidP="2030048C">
      <w:pPr>
        <w:rPr>
          <w:rFonts w:ascii="Arial" w:eastAsia="Arial" w:hAnsi="Arial" w:cs="Arial"/>
          <w:sz w:val="24"/>
          <w:szCs w:val="24"/>
        </w:rPr>
      </w:pPr>
      <w:r w:rsidRPr="2030048C">
        <w:rPr>
          <w:rFonts w:ascii="Arial" w:eastAsia="Arial" w:hAnsi="Arial" w:cs="Arial"/>
          <w:sz w:val="24"/>
          <w:szCs w:val="24"/>
        </w:rPr>
        <w:t>All January intake modules are SPAN TB2-TB1</w:t>
      </w:r>
    </w:p>
    <w:p w:rsidRPr="2030048C" w:rsidP="2030048C">
      <w:pPr>
        <w:rPr>
          <w:rFonts w:ascii="Arial" w:eastAsia="Arial" w:hAnsi="Arial" w:cs="Arial"/>
          <w:sz w:val="24"/>
          <w:szCs w:val="24"/>
        </w:rPr>
      </w:pPr>
      <w:r w:rsidRPr="2030048C">
        <w:rPr>
          <w:rFonts w:ascii="Arial" w:eastAsia="Arial" w:hAnsi="Arial" w:cs="Arial"/>
          <w:sz w:val="24"/>
          <w:szCs w:val="24"/>
        </w:rPr>
        <w:t>All May intake modules are SPAN TB3 - 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88D6640-25E4-48E7-9822-6ED22827956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