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Mechanical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30/06/2017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29/01/2026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Mechanical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 Mechanical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in Mechanical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Mechanical Engineering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UFMEE1MEE20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Mechanical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 Mechanical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in Mechanical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Mechanical Engineering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USMEE1MEE45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Mechanical Engineering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 Mechanical Engineering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in Mechanical Engineering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Mechanical Engineering with Foundation Year</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UFMEE1MEE55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Mechanical Engineering (Automotive Engineering)</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 Mechanical Engineering (Automotive Engineering)</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in Mechanical Engineering (Automotive Engineering)</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Mechanical Engineering (Automotive Engineering)</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UFMEA1MEA20</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E"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Mechanical Engineering (Automotive Engineering) with Professional Placement</w:t>
            </w:r>
          </w:p>
          <w:p w:rsidR="72431AC7" w:rsidP="540725A5" w14:textId="77777777">
            <w:pPr>
              <w:rPr>
                <w:rFonts w:ascii="Arial" w:eastAsia="Arial" w:hAnsi="Arial" w:cs="Arial"/>
                <w:b w:val="0"/>
                <w:bCs w:val="0"/>
                <w:sz w:val="24"/>
                <w:szCs w:val="24"/>
              </w:rPr>
            </w:pPr>
          </w:p>
        </w:tc>
      </w:tr>
      <w:tr w14:paraId="34BB979F"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 Mechanical Engineering (Automotive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in Mechanical Engineering (Automotive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Mechanical Engineering (Automotive Engineering) with Professional Placement</w:t>
            </w:r>
            <w:r>
              <w:br/>
            </w:r>
          </w:p>
        </w:tc>
      </w:tr>
      <w:tr w14:paraId="2A120396"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USMEA1MEA45</w:t>
            </w:r>
          </w:p>
        </w:tc>
      </w:tr>
      <w:tr w14:paraId="78C565EC"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F"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Mechanical Engineering (Automotive Engineering) with Foundation Year</w:t>
            </w:r>
          </w:p>
          <w:p w:rsidR="72431AC7" w:rsidP="540725A5" w14:textId="77777777">
            <w:pPr>
              <w:rPr>
                <w:rFonts w:ascii="Arial" w:eastAsia="Arial" w:hAnsi="Arial" w:cs="Arial"/>
                <w:b w:val="0"/>
                <w:bCs w:val="0"/>
                <w:sz w:val="24"/>
                <w:szCs w:val="24"/>
              </w:rPr>
            </w:pPr>
          </w:p>
        </w:tc>
      </w:tr>
      <w:tr w14:paraId="34BB97A0"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 Mechanical Engineering (Automotive Engineering)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in Mechanical Engineering (Automotive Engineering)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Mechanical Engineering (Automotive Engineering) with Foundation Year</w:t>
            </w:r>
            <w:r>
              <w:br/>
            </w:r>
          </w:p>
        </w:tc>
      </w:tr>
      <w:tr w14:paraId="2A120397"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UFMEA1MEA55</w:t>
            </w:r>
          </w:p>
        </w:tc>
      </w:tr>
      <w:tr w14:paraId="78C565ED"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 Campus, Kingston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Institution of Mechanical Engineers (IMechE): · EngC ref. 1309: BEng (Hons) Mechanical Engineering · EngC ref. 16900: BEng (Hons) Mechanical Engineering with Professional Placement · EngC ref. 16902: BEng (Hons) Mechanical Engineering (Automotive Engineering) · EngC ref. 16903: BEng (Hons) Mechanical Engineering (Automotive Engineering) with Professional Placement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Engineering Council regulations, a maximum of 30 credits within the programme may be compensated. Major project modules, including individual research projects and group project modules, are not eligible for compensation.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Mechanical Engineering course, including the Automotive Engineering pathway, aims to develop graduates with the engineering, design, management, business and personal skills required for professional mechanical/automotive practice and related careers.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More specifically, the course aims: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analytical and problem-solving abilities, enabling critical evaluation of evidence, informed decision-making, and effective communication.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research capabilities for postgraduate study and employability skills for contemporary engineering practice.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in-depth knowledge and understanding of key mechanical and automotive engineering principles.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creativity and technical competence to generate and realise effective design solutions.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 comprehensive understanding of sustainability, ethics, and health and safety within engineering contexts.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reflective skills that support continuous self-development and sound professional judgment.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confidence and ability required to take on leadership roles in major engineering projects.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multidisciplinary perspectives through exposure to shared modules across the programme. </w:t>
      </w:r>
    </w:p>
    <w:p w:rsidRPr="2030048C" w:rsidP="2030048C">
      <w:pPr>
        <w:pStyle w:val="ListParagraph"/>
        <w:numPr>
          <w:ilvl w:val="0"/>
          <w:numId w:val="20"/>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leadership and innovation skills for contributing to new knowledge and meeting the expectations of chartered engineer status.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of mathematics, statistics, natural science and engineering principles to the solution of complex problems. Some of the knowledge will be at the forefront of the particular subject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environmental and societal impact of solutions to complex problems and minimise adverse impacts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practical laboratory and workshop skills to investigate complex problems.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complex problems to reach substantiated conclusions using first principles of mathematics, statistics, natural science and engineering principles.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analyse ethical concerns and make reasoned ethical choices informed by professional codes of conduct.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appropriate materials, equipment, engineering technologies and processes, recognising their limitations.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appropriate computational and analytical techniques to model complex problems, recognising the limitations of the techniques employed.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 risk management approach to identify, evaluate and mitigate risks (the effects of uncertainty) associated with a particular project or activity.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Discuss the role of quality management systems and continuous improvement in the context of complex problems.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evaluate technical literature and other sources of information to address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Adopt a holistic and proportionate approach to the mitigation of security risks.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knowledge of engineering management principles, commercial context, project and change management and relevant legal matters including intellectual property rights.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solutions for complex problems that meet a combination of societal, user, business and customer needs as appropriate. This will involve consideration of applicable health &amp; safety, diversity, inclusion, cultural, societal, environmental and commercial matters, codes of practice and industry standards.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Adopt an inclusive approach to engineering practice and recognise the responsibilities, benefits and importance of supporting equality, diversity and inclusion.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Function effectively as an individual, and as a member or leader of a team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integrated or systems approach to the solution of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Maintain professional conduct by adhering to organisational policies and procedures and effectively collaborating within a team within an industrial setting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on complex engineering matters with technical and non-technical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relevant theoretical principles and discipline-specific knowledge to practical tasks and projects within an industrial setting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on experiences gained during the placement to identify opportunities for further development of skills and engineering competencies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record self-learning and development as the foundation for lifelong learning/CPD.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1"/>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This includes progressing to the placement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 </w:t>
      </w:r>
    </w:p>
    <w:p w:rsidRPr="2030048C" w:rsidP="2030048C">
      <w:pPr>
        <w:numPr>
          <w:ilvl w:val="0"/>
          <w:numId w:val="2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Design and Navigate to Professional Practice. </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Explore Engineering Design: Innovation and Business Practice.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Mechanical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Mechanical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Design and Navigate to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ME4022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Programming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Mechanics and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ME4015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Science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Mechanical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Applied AI and Mechatronics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Engineering Design: Innovation and Business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Mechanical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Thermofluids and Solid Mechanics​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passes in all four modules to give 120 credits at Level 5. Students exiting the programme at this point who have successfully completed 120 credits at Level 5 or above are eligible for the award of Diploma of Higher Education in either</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Mechanical Engineering or Mechanical Engineering (Automotive Engineering), depending on their programmes of study.</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Mechanical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Fluid Dynamics and Thermal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Machine Design with Finite Element Method</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Microcontrollers and control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Mechanical Engineering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Mechanical Engineering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Mechanical Engineering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Mechanical Engineering (Automotive Engineering)</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Mechanical Engineering (Automotive Engineering)</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Design and Navigate to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ME4022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Programming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Mechanics and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ME4015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Science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Mechanical Engineering (Automotive Engineering)</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Applied AI and Mechatronics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Automotive Design Team Project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Engineering Design: Innovation and Business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Powertrain Systems and Vehicle Dynamics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Mechanical Engineering (Automotive Engineering)</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Vehicle Design and Aerodynamics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Machine Design with Finite Element Method</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Microcontrollers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Mechanical Engineering (Automotive Engineering)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D"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8"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Mechanical Engineering (Automotive Engineering) with Professional Placement</w:t>
            </w:r>
          </w:p>
        </w:tc>
      </w:tr>
      <w:tr w14:paraId="6F03CED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D"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programme permits progression from Level 5 to Level 6 with 90 credits at Level 5 or above. The outstanding 30 credits from Level 5 can be trailed into Level 6 and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must be passed before consideration for an award or progression to level 7 (if applicable). Students exiting the programme at this point who have successfully completed 120 credits at Level 5 or above are eligible for the award of Diploma of Higher Education in either Mechanical Engineering or Mechanical Engineering (Automotive Engineering), depending on their chosen programme of study</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Mechanical Engineering (Automotive Engineering)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3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3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4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4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42"/>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w:t>
      </w:r>
    </w:p>
    <w:p w:rsidRPr="2030048C" w:rsidP="2030048C">
      <w:pPr>
        <w:numPr>
          <w:ilvl w:val="0"/>
          <w:numId w:val="43"/>
        </w:numPr>
        <w:ind w:left="720" w:hanging="360"/>
        <w:jc w:val="left"/>
        <w:rPr>
          <w:rFonts w:ascii="Arial" w:eastAsia="Arial" w:hAnsi="Arial" w:cs="Arial"/>
          <w:sz w:val="24"/>
          <w:szCs w:val="24"/>
        </w:rPr>
      </w:pPr>
      <w:hyperlink r:id="rId11" w:history="1">
        <w:r w:rsidRPr="2030048C">
          <w:rPr>
            <w:rFonts w:ascii="Arial" w:eastAsia="Arial" w:hAnsi="Arial" w:cs="Arial"/>
            <w:sz w:val="24"/>
            <w:szCs w:val="24"/>
          </w:rPr>
          <w:t>PSRB standards</w:t>
        </w:r>
      </w:hyperlink>
    </w:p>
    <w:p w:rsidRPr="2030048C" w:rsidP="2030048C">
      <w:pPr>
        <w:numPr>
          <w:ilvl w:val="0"/>
          <w:numId w:val="44"/>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QAA Subject benchmarks </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20"/>
        <w:gridCol w:w="172"/>
        <w:gridCol w:w="440"/>
        <w:gridCol w:w="446"/>
        <w:gridCol w:w="446"/>
        <w:gridCol w:w="446"/>
        <w:gridCol w:w="2"/>
        <w:gridCol w:w="444"/>
        <w:gridCol w:w="446"/>
        <w:gridCol w:w="446"/>
        <w:gridCol w:w="446"/>
        <w:gridCol w:w="446"/>
        <w:gridCol w:w="446"/>
        <w:gridCol w:w="446"/>
        <w:gridCol w:w="5"/>
        <w:gridCol w:w="441"/>
        <w:gridCol w:w="446"/>
        <w:gridCol w:w="446"/>
        <w:gridCol w:w="446"/>
        <w:gridCol w:w="434"/>
        <w:gridCol w:w="446"/>
        <w:gridCol w:w="4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ME4015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ME4024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ME4022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ME6017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multilevel"/>
    <w:tmpl w:val="74989B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4989B22"/>
    <w:multiLevelType w:val="hybridMultilevel"/>
    <w:tmpl w:val="74989B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4989B23"/>
    <w:multiLevelType w:val="hybridMultilevel"/>
    <w:tmpl w:val="74989B2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4989B24"/>
    <w:multiLevelType w:val="hybridMultilevel"/>
    <w:tmpl w:val="74989B2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4989B25"/>
    <w:multiLevelType w:val="hybridMultilevel"/>
    <w:tmpl w:val="74989B2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4989B26"/>
    <w:multiLevelType w:val="hybridMultilevel"/>
    <w:tmpl w:val="74989B2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the-quality-code/subject-benchmark-statements/subject-benchmark-statement-engineering"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imeche.org/"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177390C-C69A-47EB-AC00-9D22465DEC7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