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BEng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Mechanical Engineering top-up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31/03/2013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17/06/2025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Engineering</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Mechanical Engineering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ESOFT</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BEng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Mechanical Engineering top-up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BEng Mechanical Engineering</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UFMEE1MEE01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H302</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ESOFT</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ESOFT Metro Campus (Katubedda), Sri Lanka (ECET)</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Full-time (FT) – 1 year</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Full-time (FT) – 3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4"/>
                <w:szCs w:val="24"/>
                <w:shd w:val="clear" w:color="auto" w:fill="FFFFFF"/>
              </w:rPr>
              <w:t> </w:t>
            </w:r>
            <w:r w:rsidRPr="2030048C">
              <w:rPr>
                <w:rStyle w:val="normaltextrun"/>
                <w:rFonts w:ascii="Arial" w:eastAsia="Arial" w:hAnsi="Arial" w:cs="Arial"/>
                <w:b w:val="0"/>
                <w:bCs w:val="0"/>
                <w:color w:val="000000"/>
                <w:sz w:val="24"/>
                <w:szCs w:val="24"/>
                <w:shd w:val="clear" w:color="auto" w:fill="FFFFFF"/>
              </w:rPr>
              <w:t>The minimum entry qualifications for the programme are: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ind w:left="288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From:</w:t>
            </w:r>
          </w:p>
          <w:p w:rsidRPr="2030048C" w:rsidP="2030048C">
            <w:pPr>
              <w:ind w:left="288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Edexcel HND levels:</w:t>
            </w:r>
            <w:r w:rsidRPr="2030048C">
              <w:rPr>
                <w:rStyle w:val="normaltextrun"/>
                <w:rFonts w:ascii="Arial" w:eastAsia="Arial" w:hAnsi="Arial" w:cs="Arial"/>
                <w:b w:val="0"/>
                <w:bCs w:val="0"/>
                <w:color w:val="000000"/>
                <w:sz w:val="24"/>
                <w:szCs w:val="24"/>
                <w:shd w:val="clear" w:color="auto" w:fill="FFFFFF"/>
              </w:rPr>
              <w:t> </w:t>
            </w:r>
            <w:r w:rsidRPr="2030048C">
              <w:rPr>
                <w:rStyle w:val="normaltextrun"/>
                <w:rFonts w:ascii="Arial" w:eastAsia="Arial" w:hAnsi="Arial" w:cs="Arial"/>
                <w:b w:val="0"/>
                <w:bCs w:val="0"/>
                <w:color w:val="000000"/>
                <w:sz w:val="24"/>
                <w:szCs w:val="24"/>
                <w:shd w:val="clear" w:color="auto" w:fill="FFFFFF"/>
              </w:rPr>
              <w:t>Must pass an approved HND in Mechanical Engineering at 300 credits or more, with at least 140 at Level 5</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A minimum International English Language </w:t>
            </w:r>
            <w:r w:rsidRPr="2030048C">
              <w:rPr>
                <w:rStyle w:val="normaltextrun"/>
                <w:rFonts w:ascii="Arial" w:eastAsia="Arial" w:hAnsi="Arial" w:cs="Arial"/>
                <w:b w:val="0"/>
                <w:bCs w:val="0"/>
                <w:color w:val="000000"/>
                <w:sz w:val="24"/>
                <w:szCs w:val="24"/>
                <w:shd w:val="clear" w:color="auto" w:fill="FFFFFF"/>
              </w:rPr>
              <w:t>Testing System (IELTS) score of 6.0 (min 5.5 in Speaking, Writing, Listening and Reading) or equivalent is required for those for whom English is not their first language.</w:t>
            </w:r>
            <w:r w:rsidRPr="2030048C">
              <w:rPr>
                <w:rStyle w:val="normaltextrun"/>
                <w:rFonts w:ascii="Arial" w:eastAsia="Arial" w:hAnsi="Arial" w:cs="Arial"/>
                <w:b/>
                <w:bCs/>
                <w:color w:val="000000"/>
                <w:sz w:val="24"/>
                <w:szCs w:val="24"/>
                <w:shd w:val="clear" w:color="auto" w:fill="FFFFFF"/>
              </w:rPr>
              <w:t> </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00A92C9B" w:rsidRPr="00BF1022" w:rsidP="2030048C" w14:paraId="749FB0F8"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There are no variants to the Undergraduate Modular Scheme (UMS).</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themeColor="text1"/>
          <w:sz w:val="24"/>
          <w:szCs w:val="24"/>
          <w:shd w:val="clear" w:color="auto" w:fill="FFFFFF"/>
        </w:rPr>
        <w:t> </w:t>
      </w:r>
      <w:r w:rsidRPr="2030048C">
        <w:rPr>
          <w:rStyle w:val="normaltextrun"/>
          <w:rFonts w:ascii="Arial" w:hAnsi="Arial" w:cs="Arial"/>
          <w:color w:val="000000" w:themeColor="text1"/>
          <w:sz w:val="24"/>
          <w:szCs w:val="24"/>
          <w:shd w:val="clear" w:color="auto" w:fill="FFFFFF"/>
        </w:rPr>
        <w:t>The general aims of the course are: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graduates with the engineering, design, management, business and personal skills required to become competent Mechanical Engineers, as well as enabling them to follow care</w:t>
      </w:r>
      <w:r w:rsidRPr="2030048C">
        <w:rPr>
          <w:rStyle w:val="normaltextrun"/>
          <w:rFonts w:ascii="Arial" w:hAnsi="Arial" w:cs="Arial"/>
          <w:color w:val="000000" w:themeColor="text1"/>
          <w:sz w:val="24"/>
          <w:szCs w:val="24"/>
          <w:shd w:val="clear" w:color="auto" w:fill="FFFFFF"/>
        </w:rPr>
        <w:t>ers in related professional disciplines.</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enhance and develop the skills and knowledge gained during the Higher National Diploma programme.</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More specific aims of the course are: </w:t>
      </w:r>
    </w:p>
    <w:p w:rsidRPr="2030048C" w:rsidP="2030048C">
      <w:pPr>
        <w:pStyle w:val="ListParagraph"/>
        <w:numPr>
          <w:ilvl w:val="0"/>
          <w:numId w:val="13"/>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produce graduates with a breadth and depth of knowledge and a compreh</w:t>
      </w:r>
      <w:r w:rsidRPr="2030048C">
        <w:rPr>
          <w:rStyle w:val="normaltextrun"/>
          <w:rFonts w:ascii="Arial" w:hAnsi="Arial" w:cs="Arial"/>
          <w:color w:val="000000" w:themeColor="text1"/>
          <w:sz w:val="24"/>
          <w:szCs w:val="24"/>
          <w:shd w:val="clear" w:color="auto" w:fill="FFFFFF"/>
        </w:rPr>
        <w:t xml:space="preserve">ension of the key aspects of Mechanical Engineering. </w:t>
      </w:r>
    </w:p>
    <w:p w:rsidRPr="2030048C" w:rsidP="2030048C">
      <w:pPr>
        <w:pStyle w:val="ListParagraph"/>
        <w:numPr>
          <w:ilvl w:val="0"/>
          <w:numId w:val="13"/>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allow graduates to communicate effectively orally and in writing and to use sketches and diagrams to convey engineering ideas and concepts.</w:t>
      </w:r>
    </w:p>
    <w:p w:rsidRPr="2030048C" w:rsidP="2030048C">
      <w:pPr>
        <w:pStyle w:val="ListParagraph"/>
        <w:numPr>
          <w:ilvl w:val="0"/>
          <w:numId w:val="13"/>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graduates with an aptitude for applying techno</w:t>
      </w:r>
      <w:r w:rsidRPr="2030048C">
        <w:rPr>
          <w:rStyle w:val="normaltextrun"/>
          <w:rFonts w:ascii="Arial" w:hAnsi="Arial" w:cs="Arial"/>
          <w:color w:val="000000" w:themeColor="text1"/>
          <w:sz w:val="24"/>
          <w:szCs w:val="24"/>
          <w:shd w:val="clear" w:color="auto" w:fill="FFFFFF"/>
        </w:rPr>
        <w:t>logy to engineering problems.</w:t>
      </w:r>
    </w:p>
    <w:p w:rsidRPr="2030048C" w:rsidP="2030048C">
      <w:pPr>
        <w:pStyle w:val="ListParagraph"/>
        <w:numPr>
          <w:ilvl w:val="0"/>
          <w:numId w:val="13"/>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prepare graduates with an ability to solve design problems and the technical skills needed to realise these solutions.</w:t>
      </w:r>
    </w:p>
    <w:p w:rsidRPr="2030048C" w:rsidP="2030048C">
      <w:pPr>
        <w:pStyle w:val="ListParagraph"/>
        <w:numPr>
          <w:ilvl w:val="0"/>
          <w:numId w:val="13"/>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graduates with the research skills required for postgraduate study and employability skills r</w:t>
      </w:r>
      <w:r w:rsidRPr="2030048C">
        <w:rPr>
          <w:rStyle w:val="normaltextrun"/>
          <w:rFonts w:ascii="Arial" w:hAnsi="Arial" w:cs="Arial"/>
          <w:color w:val="000000" w:themeColor="text1"/>
          <w:sz w:val="24"/>
          <w:szCs w:val="24"/>
          <w:shd w:val="clear" w:color="auto" w:fill="FFFFFF"/>
        </w:rPr>
        <w:t>equired for work in the mechanical and related industries</w:t>
      </w:r>
    </w:p>
    <w:p w:rsidRPr="2030048C" w:rsidP="2030048C">
      <w:pPr>
        <w:pStyle w:val="ListParagraph"/>
        <w:numPr>
          <w:ilvl w:val="0"/>
          <w:numId w:val="13"/>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furnish graduates with a firm grasp of sustainability and Health and Safety.</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Relate their studies to a knowledge and understanding of sustainability and the environmental impact of their industry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the importance of professional bodies and the professional conduct expected of Incorporated Engineers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appropriate industry-standard computer software in the solution of practical problems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their understanding of the importance of Health and Safety in the engineering industry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positive attitude to learning that encourages continuing professional development throughout their careers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range of equipment, gaining a basic appreciation of the application of the technology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Relate management and business applications to mechanical engineering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Manage projects, people, resources and time taking account of legal and statutory requirements, risk, safety, quality and reliability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Undertake practical work and analyse the data obtained for use in planning and design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of electrical and electronic systems, control  and manufacturing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fundamental theoretical principles that underpin engineering and specifically mechanical engineering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workshop and laboratory equipment safely for manufacture and experimental investigation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the core mechanical engineering subjects of statics, dynamics, materials, thermodynamics, fluid mechanics and design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mathematics as a tool for solving engineering problems, communicating results, concepts and ideas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Comply with Health and Safety regulations within the work place and as they apply to mechanical design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Show a knowledge of broader technical and non-technical engineering subjects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Solve standard practical engineering design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BEng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Mechanical Engineering top-up</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BEng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Mechanical Engineering top-up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Business Management and Quality Systems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ME6010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Computer Aided Engineering and Mechatronics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ME6131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Individual Project (BSc)</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ME6114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Industrial Group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ME6115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tbl>
      <w:tblPr>
        <w:tblCellSpacing w:w="15" w:type="dxa"/>
        <w:tblCellMar>
          <w:top w:w="15" w:type="dxa"/>
          <w:left w:w="15" w:type="dxa"/>
          <w:bottom w:w="15" w:type="dxa"/>
          <w:right w:w="15" w:type="dxa"/>
        </w:tblCellMar>
      </w:tblPr>
      <w:tblGrid>
        <w:gridCol w:w="4856"/>
      </w:tblGrid>
      <w:tr>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Student Development and Graduate Success</w:t>
            </w:r>
          </w:p>
        </w:tc>
      </w:tr>
    </w:tbl>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955"/>
        <w:gridCol w:w="955"/>
        <w:gridCol w:w="955"/>
        <w:gridCol w:w="95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ME6131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ME6115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ME6010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ME6114</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186C2C78-375B-4DD7-A038-BB91DB8B8F7A}"/>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