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BEng (Hons)</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Electronic Design Engineering</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03/05/2024</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22/01/2026</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Live</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01/09/2026</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25</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Engineering, Computing and the Environment</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Engineering</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Electrical, Electronic and Robotic Engineering</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Kingston University</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BEng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Electronic Design Engineering</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CertHE Electronic Design Engineering</w:t>
            </w:r>
          </w:p>
          <w:p w:rsidR="72431AC7" w:rsidP="2030048C" w14:paraId="3E314738"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DipHE Electronic Design Engineering</w:t>
            </w:r>
          </w:p>
          <w:p w:rsidR="72431AC7" w:rsidP="2030048C" w14:paraId="7ABC1166"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BEng Electronic Design Engineering</w:t>
            </w: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UFEDG1EDG20</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H690</w:t>
            </w: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B"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BEng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Electronic Design Engineering with Professional Placement</w:t>
            </w:r>
          </w:p>
          <w:p w:rsidR="72431AC7" w:rsidP="540725A5" w14:textId="77777777">
            <w:pPr>
              <w:rPr>
                <w:rFonts w:ascii="Arial" w:eastAsia="Arial" w:hAnsi="Arial" w:cs="Arial"/>
                <w:b w:val="0"/>
                <w:bCs w:val="0"/>
                <w:sz w:val="24"/>
                <w:szCs w:val="24"/>
              </w:rPr>
            </w:pPr>
          </w:p>
        </w:tc>
      </w:tr>
      <w:tr w14:paraId="34BB979C"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CertHE Electronic Design Engineering with Professional Placement</w:t>
            </w:r>
          </w:p>
          <w:p w:rsidR="72431AC7" w:rsidP="2030048C"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DipHE Electronic Design Engineering with Professional Placement</w:t>
            </w:r>
          </w:p>
          <w:p w:rsidR="72431AC7" w:rsidP="2030048C"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BEng Electronic Design Engineering with Professional Placement</w:t>
            </w:r>
            <w:r>
              <w:br/>
            </w:r>
          </w:p>
        </w:tc>
      </w:tr>
      <w:tr w14:paraId="2A120393"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p>
          <w:p w:rsidR="72431AC7" w:rsidP="2030048C"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USEDG1EDG45</w:t>
            </w:r>
          </w:p>
        </w:tc>
      </w:tr>
      <w:tr w14:paraId="78C565E9"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H691</w:t>
            </w: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C"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BEng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Electronic Design Engineering with Foundation Year</w:t>
            </w:r>
          </w:p>
          <w:p w:rsidR="72431AC7" w:rsidP="540725A5" w14:textId="77777777">
            <w:pPr>
              <w:rPr>
                <w:rFonts w:ascii="Arial" w:eastAsia="Arial" w:hAnsi="Arial" w:cs="Arial"/>
                <w:b w:val="0"/>
                <w:bCs w:val="0"/>
                <w:sz w:val="24"/>
                <w:szCs w:val="24"/>
              </w:rPr>
            </w:pPr>
          </w:p>
        </w:tc>
      </w:tr>
      <w:tr w14:paraId="34BB979D"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CertHE Electronic Design Engineering with Foundation Year</w:t>
            </w:r>
          </w:p>
          <w:p w:rsidR="72431AC7" w:rsidP="2030048C"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DipHE Electronic Design Engineering with Foundation Year</w:t>
            </w:r>
          </w:p>
          <w:p w:rsidR="72431AC7" w:rsidP="2030048C"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BEng Electronic Design Engineering with Foundation Year</w:t>
            </w:r>
            <w:r>
              <w:br/>
            </w:r>
          </w:p>
        </w:tc>
      </w:tr>
      <w:tr w14:paraId="2A120394"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p>
          <w:p w:rsidR="72431AC7" w:rsidP="2030048C"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UFEDG1EDG55</w:t>
            </w:r>
          </w:p>
        </w:tc>
      </w:tr>
      <w:tr w14:paraId="78C565EA"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University</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Roehampton Vale</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Primarily campus based (up to 20% of scheduled L&amp;T hours delivered online)</w:t>
            </w: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foundation year</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3</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foundation year</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6</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7</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foundation year</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8</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University typically uses a range of entry requirements to assess an applicant's suitability for our courses. Most course requirements are based on UCAS Tariff points, usually stipulated as a range, and are sometimes coupled with minimum grades in specific relevant subjects. We may also use interview, portfolio and performance pieces to assess an applicant's suitability for the course. We recognise that every person's journey to Higher Education is different and unique and in some cases we may take into account work experience and other non-standard pathways onto University level study.</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Additionally, all non-UK applicants must meet our English language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Please see our course pages on the Kingston University website for the most up to date entry requirements</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Not accreditted yet</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Where a module has more than one element of assessment, in addition to the normal requirement that a student must pass the module on aggregate, there are additional requirements for the student to pass elements of assessment in the module separately in order to achieve an overall pass for the module. Such additional module-specific requirements are outlined in the Module Descriptors.</w:t>
            </w:r>
          </w:p>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To comply with the Engineering Council regulations, a maximum of 30 credits in the programme can be compensated.</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general aim of the Electronic Products Engineering course is to equip students with the theoretical and practical knowledge required to design, analyse, and implement complex electronic systems throughout all phases of the electronic product development cycle, from initial technical feasibility studies to final production-ready equipment development in our increasingly interconnected and technologically advanced world.</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xml:space="preserve">More specific aims of the course are to: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equip students with a multidisciplinary skill set and knowledge base by offering common engineering modules throughout the programme that span across various disciplines.</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develop students’ analytical and problem-solving skills, as well as their ability to evaluate evidence and assumptions to reach sound judgements, and to effectively communicate their ideas.</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furnish students with the leadership skills and know-how needed to generate new knowledge through research and development, as required for chartered engineers.</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equip students with the research and employability skills required for postgraduate study and work in electronic products engineering, particularly in the areas of product development and project management.</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provide graduates with knowledge of the electronic product development cycle, including technical feasibility studies, requirements analysis, design, prototyping, testing, validation, and production.</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foster graduates’ understanding of sustainability and health and safety within their discipline, and the reflective skills to continually develop themselves professionally.</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ensure that graduates have the ability and confidence to take on leadership roles in major engineering projects.</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a comprehensive knowledge of mathematics, science, and engineering to design, analyse, and optimise electronic systems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Formulate and analyse complex electronic product development problems to reach substantiated conclusions.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Use practical laboratory and workshop skills to investigate and test electronic systems and components throughout the product development cycle.</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Examine the behaviour of circuits and systems, including power, control, and communication systems, in the context of product development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Select and apply appropriate computational and analytical techniques to model electronic product development processes, discussing the limitations of the techniques employed.</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Select and apply appropriate materials, equipment, engineering technologies, and processes for manufacturing and assembling electronic products, recognising their limitations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 comprehensive knowledge of materials, devices, and technologies used in electronic products engineering, and their limitations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Select and critically evaluate technical literature and other sources of information to solve electronic product development problems.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Design and conduct experiments to validate and optimise electronic systems and components throughout the product development cycle, interpreting and presenting data in a clear and concise manner.</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Select and apply appropriate computational techniques to model complex problems, recognising the limitations of the techniques employed.</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Design electronic products that meet desired specifications and constraints while considering factors such as safety, reliability, and cost.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Apply knowledge of engineering management principles, commercial context, project and change management and relevant legal matters including intellectual property rights.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F"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A5</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Evaluate the environmental impact of electronic systems and design solutions that minimise adverse impacts throughout the product development cycle.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B5</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Identify and analyse ethical concerns in electronic product development projects, and make reasoned ethical choices informed by professional codes of conduct.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C5</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Function effectively as an individual, and as a member or leader of a team, evaluating the effectiveness of own and team performance in electronic product development projects.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0"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A6</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Develop a critical awareness of new developments in the field of electronic products engineering and their potential impact on industry and society.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B6</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Use a risk management process to identify, evaluate, and mitigate risks associated with electronic product development projects or activities.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C6</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Communicate effectively on electronic product development matters with technical and non-technical audiences, evaluating the effectiveness of the methods used.</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1"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A7</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relevant theoretical principles and discipline-specific knowledge to practical tasks and projects within an industrial setting</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B7</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Adopt an inclusive approach to engineering practice and recognise the responsibilities, benefits, and importance of supporting equality, diversity, and inclusion in electronic product development projects and activities.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C7</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Adopt a holistic and proportionate approach to the mitigation of security risks associated with electronic product development projects and activities.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2"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A8</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the principles of coding and algorithms for signal and image processing, data analysis, and control in electronic product development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B8</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Critically reflect on experiences gained during the placement to identify opportunities for further development of skills and engineering competencies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C8</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Maintain professional conduct by adhering to organisational policies and procedures and effectively collaborating within a team within an industrial setting</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3"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A9</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 critical awareness of the current developments in the renewable energy sector.</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Full details of each module will be provided in module descriptors and in the module canvas pages.</w:t>
      </w:r>
      <w:r w:rsidRPr="2030048C">
        <w:rPr>
          <w:rFonts w:ascii="Arial" w:eastAsia="Arial" w:hAnsi="Arial" w:cs="Arial"/>
          <w:color w:val="000000" w:themeColor="text1" w:themeShade="FF" w:themeTint="FF"/>
          <w:sz w:val="24"/>
          <w:szCs w:val="24"/>
        </w:rPr>
        <w:t xml:space="preserve">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Students on the Foundation pathway can get details about level 3 modules in the Foundation Year in Engineering Programme Specifications</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BEng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Electronic Design Engineering</w:t>
      </w:r>
    </w:p>
    <w:p w:rsidR="008B5CAF" w:rsidRPr="008B5CAF" w:rsidP="008B5CAF" w14:paraId="22073769" w14:textId="77777777">
      <w:pPr>
        <w:rPr>
          <w:rFonts w:eastAsia="Arial"/>
        </w:rPr>
      </w:pPr>
    </w:p>
    <w:p w:rsidR="035B6837" w:rsidP="2030048C" w14:paraId="18DB58E7" w14:textId="4FCC7D0E">
      <w:pPr>
        <w:rPr>
          <w:rFonts w:ascii="Arial" w:eastAsia="Arial" w:hAnsi="Arial" w:cs="Arial"/>
          <w:color w:val="FF0000"/>
          <w:sz w:val="24"/>
          <w:szCs w:val="24"/>
          <w:lang w:val="en-GB"/>
        </w:rPr>
      </w:pPr>
    </w:p>
    <w:tbl>
      <w:tblPr>
        <w:tblW w:w="9156"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35"/>
        <w:gridCol w:w="915"/>
        <w:gridCol w:w="840"/>
        <w:gridCol w:w="1275"/>
        <w:gridCol w:w="1546"/>
        <w:gridCol w:w="795"/>
        <w:gridCol w:w="788"/>
      </w:tblGrid>
      <w:tr w14:paraId="6AECDE82"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16D2869" w14:textId="2B0B03C0">
            <w:pPr>
              <w:rPr>
                <w:rFonts w:ascii="Arial" w:eastAsia="Arial" w:hAnsi="Arial" w:cs="Arial"/>
                <w:sz w:val="24"/>
                <w:szCs w:val="24"/>
              </w:rPr>
            </w:pPr>
            <w:r w:rsidRPr="540725A5" w:rsidR="073AEBF5">
              <w:rPr>
                <w:rFonts w:ascii="Arial" w:eastAsia="Arial" w:hAnsi="Arial" w:cs="Arial"/>
                <w:b/>
                <w:bCs/>
                <w:sz w:val="24"/>
                <w:szCs w:val="24"/>
              </w:rPr>
              <w:t>Level 4</w:t>
            </w:r>
          </w:p>
        </w:tc>
      </w:tr>
      <w:tr w14:paraId="26875B0A"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3763F788" w14:textId="03CC064E">
            <w:pPr>
              <w:rPr>
                <w:rFonts w:ascii="Arial" w:eastAsia="Arial" w:hAnsi="Arial" w:cs="Arial"/>
                <w:sz w:val="24"/>
                <w:szCs w:val="24"/>
                <w:lang w:val="en-GB"/>
              </w:rPr>
            </w:pPr>
            <w:r w:rsidRPr="2030048C" w:rsidR="073AEBF5">
              <w:rPr>
                <w:rFonts w:ascii="Arial" w:eastAsia="Arial" w:hAnsi="Arial" w:cs="Arial"/>
                <w:b/>
                <w:bCs/>
                <w:sz w:val="24"/>
                <w:szCs w:val="24"/>
                <w:lang w:val="en-GB"/>
              </w:rPr>
              <w:t>BEng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Electronic Design Engineering</w:t>
            </w:r>
          </w:p>
        </w:tc>
      </w:tr>
      <w:tr w14:paraId="448CA5C0"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891653" w14:textId="67E6A441">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3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300AC18" w14:textId="6796540B">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AA86F48" w14:textId="7BADD3C9">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024BC7D" w14:textId="1895BF0C">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DCD2F5" w14:textId="68764A3C">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90DC0BD" w14:textId="1EBE08C5">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546"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CE5963D" w14:textId="60D7E41B">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679B52" w14:textId="064BCCD7">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596E637" w14:textId="0182CCE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CEF8052"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662DB9" w14:textId="47B37178">
            <w:pPr>
              <w:rPr>
                <w:rFonts w:ascii="Arial" w:eastAsia="Arial" w:hAnsi="Arial" w:cs="Arial"/>
                <w:sz w:val="24"/>
                <w:szCs w:val="24"/>
                <w:lang w:val="en-GB"/>
              </w:rPr>
            </w:pPr>
            <w:r w:rsidRPr="2030048C" w:rsidR="073AEBF5">
              <w:rPr>
                <w:rFonts w:ascii="Arial" w:eastAsia="Arial" w:hAnsi="Arial" w:cs="Arial"/>
                <w:sz w:val="24"/>
                <w:szCs w:val="24"/>
                <w:lang w:val="en-GB"/>
              </w:rPr>
              <w:t>Electrical Engineering Principles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DC019E5"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ER4013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B960F8"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B490679"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42AD06"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04EF49"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8495D6"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3BC9C472" w14:textId="05FADE53">
            <w:pPr>
              <w:pStyle w:val="paragraph"/>
              <w:spacing w:before="0" w:beforeAutospacing="0" w:after="0" w:afterAutospacing="0"/>
              <w:jc w:val="center"/>
              <w:rPr>
                <w:rFonts w:ascii="Arial" w:eastAsia="Arial" w:hAnsi="Arial" w:cs="Arial"/>
                <w:sz w:val="24"/>
                <w:szCs w:val="24"/>
              </w:rPr>
            </w:pPr>
          </w:p>
        </w:tc>
      </w:tr>
      <w:tr w14:paraId="2CEF8053"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Electronic Circuits and Systems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ER4001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4"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Engineering Mathematics and Programming</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EG4009</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5"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Navigate with Microcontroller Projects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ER4009</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bl>
    <w:p w:rsidR="66934EB1" w:rsidP="5C72847F" w14:paraId="53D02BA1" w14:textId="78CFDA01">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29C85CBA" w14:textId="09F9355D">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7A33046F">
        <w:rPr>
          <w:rFonts w:ascii="Arial" w:eastAsia="Arial" w:hAnsi="Arial" w:cs="Arial"/>
          <w:color w:val="000000" w:themeColor="text1" w:themeShade="FF" w:themeTint="FF"/>
          <w:sz w:val="24"/>
          <w:szCs w:val="24"/>
        </w:rPr>
        <w:t>Exit Awards at Level 4</w:t>
      </w:r>
    </w:p>
    <w:p w:rsidR="66934EB1" w:rsidP="5C72847F" w14:paraId="1F4B928D" w14:textId="31F67159">
      <w:pPr>
        <w:rPr>
          <w:rFonts w:ascii="Arial" w:eastAsia="Arial" w:hAnsi="Arial" w:cs="Arial"/>
          <w:color w:val="0070C0"/>
          <w:sz w:val="22"/>
          <w:szCs w:val="22"/>
        </w:rPr>
      </w:pPr>
    </w:p>
    <w:p w:rsidR="7A33046F" w:rsidRPr="2030048C" w:rsidP="2030048C" w14:paraId="33FA7816" w14:textId="3EB90FAF">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course at this point who have successfully completed 120 credits at level 4 or above are eligible for the award of Certificate of Higher Education.</w:t>
      </w:r>
    </w:p>
    <w:p w:rsidR="7A33046F"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66934EB1" w:rsidP="2030048C" w14:textId="3EB90FAF">
      <w:pPr>
        <w:rPr>
          <w:rFonts w:ascii="Arial" w:eastAsia="Arial" w:hAnsi="Arial" w:cs="Arial"/>
          <w:color w:val="000000" w:themeColor="text1" w:themeShade="FF" w:themeTint="FF"/>
          <w:sz w:val="24"/>
          <w:szCs w:val="24"/>
          <w:lang w:val="en-GB"/>
        </w:rPr>
      </w:pPr>
      <w:r w:rsidRPr="2030048C" w:rsidR="7A33046F">
        <w:rPr>
          <w:rStyle w:val="normaltextrun"/>
          <w:rFonts w:ascii="Arial" w:eastAsia="Arial" w:hAnsi="Arial" w:cs="Arial"/>
          <w:color w:val="000000" w:themeColor="text1" w:themeShade="FF" w:themeTint="FF"/>
          <w:sz w:val="24"/>
          <w:szCs w:val="24"/>
          <w:lang w:val="en-GB"/>
        </w:rPr>
        <w:t> </w:t>
      </w:r>
    </w:p>
    <w:p w:rsidR="66934EB1" w:rsidP="66934EB1" w14:paraId="5E8B465D" w14:textId="6C9FE414">
      <w:pPr>
        <w:rPr>
          <w:rFonts w:ascii="Arial" w:eastAsia="Arial" w:hAnsi="Arial" w:cs="Arial"/>
          <w:color w:val="FF0000"/>
        </w:rPr>
      </w:pPr>
    </w:p>
    <w:p w:rsidR="035B6837" w:rsidP="2030048C" w14:paraId="35C9C3C3"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A"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EE6C511" w14:textId="30F3F3B7">
            <w:pPr>
              <w:rPr>
                <w:rFonts w:ascii="Arial" w:eastAsia="Arial" w:hAnsi="Arial" w:cs="Arial"/>
              </w:rPr>
            </w:pPr>
            <w:r w:rsidRPr="66934EB1">
              <w:rPr>
                <w:rFonts w:ascii="Arial" w:eastAsia="Arial" w:hAnsi="Arial" w:cs="Arial"/>
                <w:b/>
                <w:bCs/>
              </w:rPr>
              <w:t>Level 5</w:t>
            </w:r>
          </w:p>
        </w:tc>
      </w:tr>
      <w:tr w14:paraId="1514BE75"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3D8330" w14:textId="73F14FE4">
            <w:pPr>
              <w:rPr>
                <w:rFonts w:ascii="Arial" w:eastAsia="Arial" w:hAnsi="Arial" w:cs="Arial"/>
                <w:lang w:val="en-GB"/>
              </w:rPr>
            </w:pPr>
            <w:r w:rsidRPr="2030048C">
              <w:rPr>
                <w:rFonts w:ascii="Arial" w:eastAsia="Arial" w:hAnsi="Arial" w:cs="Arial"/>
                <w:b/>
                <w:bCs/>
                <w:lang w:val="en-GB"/>
              </w:rPr>
              <w:t>BEng (Hons)</w:t>
            </w:r>
            <w:r w:rsidRPr="2030048C">
              <w:rPr>
                <w:rFonts w:ascii="Arial" w:eastAsia="Arial" w:hAnsi="Arial" w:cs="Arial"/>
                <w:b/>
                <w:bCs/>
                <w:lang w:val="en-GB"/>
              </w:rPr>
              <w:t xml:space="preserve"> </w:t>
            </w:r>
            <w:r w:rsidRPr="2030048C">
              <w:rPr>
                <w:rFonts w:ascii="Arial" w:eastAsia="Arial" w:hAnsi="Arial" w:cs="Arial"/>
                <w:b/>
                <w:bCs/>
                <w:lang w:val="en-GB"/>
              </w:rPr>
              <w:t>Electronic Design Engineering</w:t>
            </w:r>
          </w:p>
        </w:tc>
      </w:tr>
      <w:tr w14:paraId="6F03CED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3D2EF5E"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405391E"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E0B68C1"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7D3B878"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DBF801D"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92AA42"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AB6AEA2"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CC454E"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B88CB09"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53069F" w14:textId="085F1259">
            <w:pPr>
              <w:rPr>
                <w:rFonts w:ascii="Arial" w:eastAsia="Arial" w:hAnsi="Arial" w:cs="Arial"/>
                <w:sz w:val="24"/>
                <w:szCs w:val="24"/>
                <w:lang w:val="en-GB"/>
              </w:rPr>
            </w:pPr>
            <w:r w:rsidRPr="2030048C" w:rsidR="073AEBF5">
              <w:rPr>
                <w:rFonts w:ascii="Arial" w:eastAsia="Arial" w:hAnsi="Arial" w:cs="Arial"/>
                <w:sz w:val="24"/>
                <w:szCs w:val="24"/>
                <w:lang w:val="en-GB"/>
              </w:rPr>
              <w:t>Advanced Mathematics and AI</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35EC96D"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ER5009</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D2C8F1"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60841D3"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ABFEEFB"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F18AC6"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9CCF5F6"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4FA4B9" w14:textId="28FBC4CB">
            <w:pPr>
              <w:pStyle w:val="paragraph"/>
              <w:spacing w:before="0" w:beforeAutospacing="0" w:after="0" w:afterAutospacing="0"/>
              <w:jc w:val="center"/>
              <w:rPr>
                <w:rFonts w:ascii="Arial" w:eastAsia="Arial" w:hAnsi="Arial" w:cs="Arial"/>
                <w:sz w:val="24"/>
                <w:szCs w:val="24"/>
              </w:rPr>
            </w:pPr>
          </w:p>
        </w:tc>
      </w:tr>
      <w:tr w14:paraId="23C84FB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Computer-Aided Electronic Design</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ER5005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Exploring Electronic Instrumentation and Project Management</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ER5008</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7"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Systems Engineering</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ER5003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bl>
    <w:p w:rsidR="66934EB1" w:rsidP="5C72847F" w14:paraId="62198AF0"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65FF68BE"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paraId="1CF02DB6" w14:textId="7597772D">
      <w:pPr>
        <w:rPr>
          <w:rFonts w:ascii="Arial" w:eastAsia="Arial" w:hAnsi="Arial" w:cs="Arial"/>
          <w:color w:val="0070C0"/>
          <w:sz w:val="24"/>
          <w:szCs w:val="24"/>
        </w:rPr>
      </w:pPr>
    </w:p>
    <w:p w:rsidR="3891A81D" w:rsidRPr="2030048C" w:rsidP="2030048C" w14:paraId="268D6129" w14:textId="5C84D198">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at this point who have successfully completed 120 credits at level 5 or above are eligible for the award of Diploma of Higher Education.</w:t>
      </w:r>
    </w:p>
    <w:p w:rsidR="3891A81D" w:rsidRPr="2030048C" w:rsidP="2030048C">
      <w:pPr>
        <w:pStyle w:val="Heading3"/>
        <w:outlineLvl w:val="2"/>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66934EB1" w:rsidP="2030048C" w14:textId="5C84D198">
      <w:pPr>
        <w:rPr>
          <w:rFonts w:ascii="Arial" w:eastAsia="Arial" w:hAnsi="Arial" w:cs="Arial"/>
          <w:color w:val="000000" w:themeColor="text1" w:themeShade="FF" w:themeTint="FF"/>
          <w:sz w:val="24"/>
          <w:szCs w:val="24"/>
          <w:lang w:val="en-GB"/>
        </w:rPr>
      </w:pPr>
    </w:p>
    <w:p w:rsidR="66934EB1" w:rsidP="540725A5" w14:paraId="3F1CEAE3" w14:textId="65ECFB32">
      <w:pPr>
        <w:rPr>
          <w:rFonts w:ascii="Arial" w:eastAsia="Arial" w:hAnsi="Arial" w:cs="Arial"/>
          <w:color w:val="FF0000"/>
          <w:sz w:val="24"/>
          <w:szCs w:val="24"/>
        </w:rPr>
      </w:pPr>
    </w:p>
    <w:p w:rsidR="035B6837" w:rsidP="2030048C" w14:paraId="1470770A"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3"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65CD886"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8"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68E632"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BEng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Electronic Design Engineering</w:t>
            </w:r>
          </w:p>
        </w:tc>
      </w:tr>
      <w:tr w14:paraId="7FFB693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F16B414"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309A15E"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3B8B3A"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D58C6E2"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004ED17"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A04288"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91A6C28"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DF4048"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ADD6D32"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2"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47134EA" w14:textId="7CD3FD66">
            <w:pPr>
              <w:rPr>
                <w:rFonts w:ascii="Arial" w:eastAsia="Arial" w:hAnsi="Arial" w:cs="Arial"/>
                <w:sz w:val="24"/>
                <w:szCs w:val="24"/>
                <w:lang w:val="en-GB"/>
              </w:rPr>
            </w:pPr>
            <w:r w:rsidRPr="2030048C" w:rsidR="073AEBF5">
              <w:rPr>
                <w:rFonts w:ascii="Arial" w:eastAsia="Arial" w:hAnsi="Arial" w:cs="Arial"/>
                <w:sz w:val="24"/>
                <w:szCs w:val="24"/>
                <w:lang w:val="en-GB"/>
              </w:rPr>
              <w:t>Advanced Electronic Systems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3297D0"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ER6012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5E88AAE"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03E4108"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ED99AC1"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2FC5BD"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2E0EA72"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8FC404" w14:textId="24A9B0F1">
            <w:pPr>
              <w:pStyle w:val="paragraph"/>
              <w:spacing w:before="0" w:beforeAutospacing="0" w:after="0" w:afterAutospacing="0"/>
              <w:jc w:val="center"/>
              <w:rPr>
                <w:rFonts w:ascii="Arial" w:eastAsia="Arial" w:hAnsi="Arial" w:cs="Arial"/>
                <w:sz w:val="24"/>
                <w:szCs w:val="24"/>
              </w:rPr>
            </w:pPr>
          </w:p>
        </w:tc>
      </w:tr>
      <w:tr w14:paraId="5B322023"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BEng Project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ER6010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4"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Communication Systems and Digital Signal Processing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ER6007</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5"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Future Skills Apply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AX6001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6"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Sustainable Engineering and Robotics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ER6011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bl>
    <w:p w:rsidR="66934EB1" w:rsidP="5C72847F" w14:paraId="0859BEA6"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184A5A93"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paraId="1CF3416B" w14:textId="1812B43E">
      <w:pPr>
        <w:rPr>
          <w:rFonts w:ascii="Arial" w:eastAsia="Arial" w:hAnsi="Arial" w:cs="Arial"/>
          <w:color w:val="0070C0"/>
          <w:sz w:val="24"/>
          <w:szCs w:val="24"/>
        </w:rPr>
      </w:pPr>
    </w:p>
    <w:p w:rsidR="6DF80A31" w:rsidRPr="2030048C" w:rsidP="2030048C" w14:paraId="5E579705" w14:textId="25B67DE5">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without completing the full 120 credits but have successfully completed 60 credits at level 6 or above are eligible for the award of an Ordinary Degree.</w:t>
      </w:r>
    </w:p>
    <w:p w:rsidR="66934EB1" w:rsidP="2030048C" w14:textId="25B67DE5">
      <w:pPr>
        <w:rPr>
          <w:rFonts w:ascii="Arial" w:eastAsia="Arial" w:hAnsi="Arial" w:cs="Arial"/>
          <w:color w:val="000000" w:themeColor="text1"/>
          <w:sz w:val="24"/>
          <w:szCs w:val="24"/>
          <w:lang w:val="en-GB"/>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BEng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Electronic Design Engineering with Professional Placement</w:t>
      </w:r>
    </w:p>
    <w:p w:rsidR="008B5CAF" w:rsidRPr="008B5CAF" w:rsidP="008B5CAF" w14:textId="77777777">
      <w:pPr>
        <w:rPr>
          <w:rFonts w:eastAsia="Arial"/>
        </w:rPr>
      </w:pPr>
    </w:p>
    <w:p w:rsidR="035B6837" w:rsidP="2030048C"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B"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30F3F3B7">
            <w:pPr>
              <w:rPr>
                <w:rFonts w:ascii="Arial" w:eastAsia="Arial" w:hAnsi="Arial" w:cs="Arial"/>
              </w:rPr>
            </w:pPr>
            <w:r w:rsidRPr="66934EB1">
              <w:rPr>
                <w:rFonts w:ascii="Arial" w:eastAsia="Arial" w:hAnsi="Arial" w:cs="Arial"/>
                <w:b/>
                <w:bCs/>
              </w:rPr>
              <w:t>Level 5</w:t>
            </w:r>
          </w:p>
        </w:tc>
      </w:tr>
      <w:tr w14:paraId="1514BE76"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textId="73F14FE4">
            <w:pPr>
              <w:rPr>
                <w:rFonts w:ascii="Arial" w:eastAsia="Arial" w:hAnsi="Arial" w:cs="Arial"/>
                <w:lang w:val="en-GB"/>
              </w:rPr>
            </w:pPr>
            <w:r w:rsidRPr="2030048C">
              <w:rPr>
                <w:rFonts w:ascii="Arial" w:eastAsia="Arial" w:hAnsi="Arial" w:cs="Arial"/>
                <w:b/>
                <w:bCs/>
                <w:lang w:val="en-GB"/>
              </w:rPr>
              <w:t>BEng (Hons)</w:t>
            </w:r>
            <w:r w:rsidRPr="2030048C">
              <w:rPr>
                <w:rFonts w:ascii="Arial" w:eastAsia="Arial" w:hAnsi="Arial" w:cs="Arial"/>
                <w:b/>
                <w:bCs/>
                <w:lang w:val="en-GB"/>
              </w:rPr>
              <w:t xml:space="preserve"> </w:t>
            </w:r>
            <w:r w:rsidRPr="2030048C">
              <w:rPr>
                <w:rFonts w:ascii="Arial" w:eastAsia="Arial" w:hAnsi="Arial" w:cs="Arial"/>
                <w:b/>
                <w:bCs/>
                <w:lang w:val="en-GB"/>
              </w:rPr>
              <w:t>Electronic Design Engineering with Professional Placement</w:t>
            </w:r>
          </w:p>
        </w:tc>
      </w:tr>
      <w:tr w14:paraId="6F03CED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8"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Industrial Placement</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ME5023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120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ACYR</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bl>
    <w:p w:rsidR="66934EB1" w:rsidP="5C72847F"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textId="7597772D">
      <w:pPr>
        <w:rPr>
          <w:rFonts w:ascii="Arial" w:eastAsia="Arial" w:hAnsi="Arial" w:cs="Arial"/>
          <w:color w:val="0070C0"/>
          <w:sz w:val="24"/>
          <w:szCs w:val="24"/>
        </w:rPr>
      </w:pPr>
    </w:p>
    <w:p w:rsidR="3891A81D" w:rsidRPr="2030048C" w:rsidP="2030048C" w14:textId="5C84D198">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Students exiting the programme at this point who have successfully completed 120 credits at level 5 or above are eligible for the award of Diploma of Higher Education. </w:t>
      </w:r>
    </w:p>
    <w:p w:rsidR="66934EB1" w:rsidP="2030048C" w14:textId="5C84D198">
      <w:pPr>
        <w:rPr>
          <w:rFonts w:ascii="Arial" w:eastAsia="Arial" w:hAnsi="Arial" w:cs="Arial"/>
          <w:color w:val="000000" w:themeColor="text1" w:themeShade="FF" w:themeTint="FF"/>
          <w:sz w:val="24"/>
          <w:szCs w:val="24"/>
          <w:lang w:val="en-GB"/>
        </w:rPr>
      </w:pPr>
    </w:p>
    <w:p w:rsidR="66934EB1" w:rsidP="540725A5" w14:textId="65ECFB32">
      <w:pPr>
        <w:rPr>
          <w:rFonts w:ascii="Arial" w:eastAsia="Arial" w:hAnsi="Arial" w:cs="Arial"/>
          <w:color w:val="FF0000"/>
          <w:sz w:val="24"/>
          <w:szCs w:val="24"/>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BEng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Electronic Design Engineering with Foundation Year</w:t>
      </w:r>
    </w:p>
    <w:p w:rsidR="008B5CAF" w:rsidRPr="008B5CAF" w:rsidP="008B5CAF" w14:textId="77777777">
      <w:pPr>
        <w:rPr>
          <w:rFonts w:eastAsia="Arial"/>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sz w:val="24"/>
          <w:szCs w:val="24"/>
        </w:rPr>
        <w:t>This course uses a range of teaching and assessment methods which have been designed to support students’ learning and achievement of the learning outcomes. The course has been developed with reference to the Kingston University Academic Framework which sets-out core principles relating to Course and Credit Structure (including Module delivery Structure and Pattern, and Learning Hours and Learning Formats); Curriculum Design (inclusion Learning Design Principles and Inclusive Curriculum); and Future Skills.</w:t>
      </w:r>
    </w:p>
    <w:p w:rsidRPr="2030048C" w:rsidP="2030048C">
      <w:pPr>
        <w:ind w:left="570"/>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Teaching and Learning on the course consist of Scheduled Learning and Teaching and Guided Independent Study (self-managed time). Scheduled Learning and Teaching includes the following, and the format for each module is set out in the module specification:</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Laboratory Sessions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Lectures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Seminars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Tutorials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Workshops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Placements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Guidance for students on the use of independent study time is communicated through the ‘Succeed in your module’ section on the Canvas Virtual Learning Environment and through other communications during the course.</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In addition to the core Scheduled Learning and Teaching activities for the course, the University may offer students additional optional opportunities for learning. Examples of these include Study abroad and Work-based learning.</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The course will provide students with the opportunity to develop their knowledge and skills relating to at least two United Nations Sustainable Development Goals (UN SDGs). We are committed to empowering students with the knowledge, skills and opportunities to understand and address the UN SDGs: each course is thus also required to prepare students for at least two of the SDGs (not including Quality Education, which all courses must deliver).</w:t>
      </w:r>
    </w:p>
    <w:p w:rsidRPr="2030048C" w:rsidP="2030048C">
      <w:pPr>
        <w:rPr>
          <w:rFonts w:ascii="Arial" w:eastAsia="Arial" w:hAnsi="Arial" w:cs="Arial"/>
          <w:sz w:val="24"/>
          <w:szCs w:val="24"/>
        </w:rPr>
      </w:pPr>
      <w:r w:rsidRPr="2030048C">
        <w:rPr>
          <w:rFonts w:ascii="Arial" w:eastAsia="Arial" w:hAnsi="Arial" w:cs="Arial"/>
          <w:sz w:val="24"/>
          <w:szCs w:val="24"/>
        </w:rPr>
        <w:t> </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Students are supported through a range of services that provide academic and wider support. These include:</w:t>
      </w:r>
    </w:p>
    <w:p w:rsidRPr="2030048C" w:rsidP="2030048C">
      <w:pPr>
        <w:ind w:left="570"/>
        <w:rPr>
          <w:rFonts w:ascii="Arial" w:eastAsia="Arial" w:hAnsi="Arial" w:cs="Arial"/>
          <w:sz w:val="24"/>
          <w:szCs w:val="24"/>
        </w:rPr>
      </w:pPr>
      <w:r w:rsidRPr="2030048C">
        <w:rPr>
          <w:rFonts w:ascii="Arial" w:eastAsia="Arial" w:hAnsi="Arial" w:cs="Arial"/>
          <w:sz w:val="24"/>
          <w:szCs w:val="24"/>
        </w:rPr>
        <w:t> </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A Module Leader for each module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A Course Leader to help students understand the course structure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Personal Tutors to provide academic and personal support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Technical support to advise students on IT and the use of software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Student Voice Committee – to ensure the views of students are heard</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Canvas – Kingston University’s Virtual Learning Environment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Student support facilities that can provide advice on issues such as finance, regulations, legal matters, accommodation, international student support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Disabled student support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The Kingston Students’ Union</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Student Development and Graduate Success</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The University has policies and procedures for evaluating and improving the quality and standards of its provision. These include:</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Questionnaires (MEQs), the National Student Survey (NSS)</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Internal and external moderation</w:t>
      </w:r>
      <w:r w:rsidRPr="2030048C">
        <w:rPr>
          <w:rFonts w:ascii="Arial" w:eastAsia="Arial" w:hAnsi="Arial" w:cs="Arial"/>
          <w:sz w:val="24"/>
          <w:szCs w:val="24"/>
        </w:rPr>
        <w:t> of graded assignments</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 These could include:</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PSRB standards</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QAA Subject benchmarks</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Other subject or industry standards</w:t>
      </w:r>
    </w:p>
    <w:p w:rsidRPr="2030048C" w:rsidP="2030048C">
      <w:pPr>
        <w:rPr>
          <w:rFonts w:ascii="Arial" w:eastAsia="Arial" w:hAnsi="Arial" w:cs="Arial"/>
          <w:sz w:val="24"/>
          <w:szCs w:val="24"/>
        </w:rPr>
      </w:pPr>
      <w:r w:rsidRPr="2030048C">
        <w:rPr>
          <w:rFonts w:ascii="Arial" w:eastAsia="Arial" w:hAnsi="Arial" w:cs="Arial"/>
          <w:sz w:val="24"/>
          <w:szCs w:val="24"/>
        </w:rPr>
        <w:t>Our programme design is based on the guidelines provided by the Engineering Council UK Standard for Professional Engineering Competence (UK-SPEC), the Quality Assurance Agency (QAA) Subject Benchmark Statement for Engineering, and the Institution of Engineering and Technology (IET) Academic Accreditation. The University provides students with relevant regulations and specific requirements for accreditation by external professional or statutory bodies.  </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1043"/>
        <w:gridCol w:w="218"/>
        <w:gridCol w:w="1"/>
        <w:gridCol w:w="551"/>
        <w:gridCol w:w="1"/>
        <w:gridCol w:w="551"/>
        <w:gridCol w:w="1"/>
        <w:gridCol w:w="559"/>
        <w:gridCol w:w="1"/>
        <w:gridCol w:w="551"/>
        <w:gridCol w:w="1"/>
        <w:gridCol w:w="551"/>
        <w:gridCol w:w="1"/>
        <w:gridCol w:w="551"/>
        <w:gridCol w:w="1"/>
        <w:gridCol w:w="551"/>
        <w:gridCol w:w="1"/>
        <w:gridCol w:w="567"/>
        <w:gridCol w:w="1"/>
        <w:gridCol w:w="550"/>
        <w:gridCol w:w="1"/>
        <w:gridCol w:w="1"/>
        <w:gridCol w:w="551"/>
        <w:gridCol w:w="1"/>
        <w:gridCol w:w="551"/>
        <w:gridCol w:w="1"/>
        <w:gridCol w:w="551"/>
        <w:gridCol w:w="1"/>
        <w:gridCol w:w="551"/>
        <w:gridCol w:w="1"/>
        <w:gridCol w:w="548"/>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8"/>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4</w:t>
            </w:r>
          </w:p>
        </w:tc>
        <w:tc>
          <w:tcPr>
            <w:gridSpan w:val="10"/>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5</w:t>
            </w:r>
          </w:p>
        </w:tc>
        <w:tc>
          <w:tcPr>
            <w:gridSpan w:val="11"/>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6</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ER4001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ER4009</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EG4009</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ER4013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ER5008</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ER5005</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ER5003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ME5023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ER5009</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ER6012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ER6007</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ER6010</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ER6011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AX6001</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A5</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A6</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A7</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A8</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A9</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B5</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B6</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B7</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B8</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C5</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C6</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C7</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C8</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bl>
    <w:p w:rsidR="00CE2BD2"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Pr="2030048C" w:rsidP="2030048C" w14:paraId="0E005814" w14:textId="395E719D">
      <w:pPr>
        <w:rPr>
          <w:rFonts w:ascii="Arial" w:eastAsia="Arial" w:hAnsi="Arial" w:cs="Arial"/>
          <w:sz w:val="24"/>
          <w:szCs w:val="24"/>
        </w:rPr>
      </w:pPr>
      <w:r w:rsidRPr="2030048C">
        <w:rPr>
          <w:rFonts w:ascii="Arial" w:eastAsia="Arial" w:hAnsi="Arial" w:cs="Arial"/>
          <w:i/>
          <w:iCs/>
          <w:color w:val="E74C3C"/>
          <w:sz w:val="24"/>
          <w:szCs w:val="24"/>
        </w:rPr>
        <w:t>Add information here about the number of approved entry points and for each one, except the first one, the delivery dates of the modules and which Teaching Block they’ll be delivered in. The details of the first entry point noted should be provided in the module tables above.</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b/>
          <w:bCs/>
          <w:color w:val="E74C3C"/>
          <w:sz w:val="24"/>
          <w:szCs w:val="24"/>
        </w:rPr>
        <w:t>Standard Codes and Definitions for Teaching Blocks</w:t>
      </w:r>
      <w:r w:rsidRPr="2030048C">
        <w:rPr>
          <w:rFonts w:ascii="Arial" w:eastAsia="Arial" w:hAnsi="Arial" w:cs="Arial"/>
          <w:color w:val="E74C3C"/>
          <w:sz w:val="24"/>
          <w:szCs w:val="24"/>
        </w:rPr>
        <w:br/>
      </w:r>
      <w:r w:rsidRPr="2030048C">
        <w:rPr>
          <w:rFonts w:ascii="Arial" w:eastAsia="Arial" w:hAnsi="Arial" w:cs="Arial"/>
          <w:color w:val="E74C3C"/>
          <w:sz w:val="24"/>
          <w:szCs w:val="24"/>
        </w:rPr>
        <w:t>•    TY13</w:t>
      </w:r>
      <w:r w:rsidRPr="2030048C">
        <w:rPr>
          <w:rFonts w:ascii="Arial" w:eastAsia="Arial" w:hAnsi="Arial" w:cs="Arial"/>
          <w:color w:val="E74C3C"/>
          <w:sz w:val="24"/>
          <w:szCs w:val="24"/>
        </w:rPr>
        <w:br/>
      </w:r>
      <w:r w:rsidRPr="2030048C">
        <w:rPr>
          <w:rFonts w:ascii="Arial" w:eastAsia="Arial" w:hAnsi="Arial" w:cs="Arial"/>
          <w:color w:val="E74C3C"/>
          <w:sz w:val="24"/>
          <w:szCs w:val="24"/>
        </w:rPr>
        <w:t>Module taught across Autumn and Spring terms.</w:t>
      </w:r>
      <w:r w:rsidRPr="2030048C">
        <w:rPr>
          <w:rFonts w:ascii="Arial" w:eastAsia="Arial" w:hAnsi="Arial" w:cs="Arial"/>
          <w:color w:val="E74C3C"/>
          <w:sz w:val="24"/>
          <w:szCs w:val="24"/>
        </w:rPr>
        <w:br/>
      </w:r>
      <w:r w:rsidRPr="2030048C">
        <w:rPr>
          <w:rFonts w:ascii="Arial" w:eastAsia="Arial" w:hAnsi="Arial" w:cs="Arial"/>
          <w:color w:val="E74C3C"/>
          <w:sz w:val="24"/>
          <w:szCs w:val="24"/>
        </w:rPr>
        <w:t>Example: 29 Sept 2025 – 24 Apr 2026.</w:t>
      </w:r>
    </w:p>
    <w:p w:rsidRPr="2030048C" w:rsidP="2030048C">
      <w:pPr>
        <w:rPr>
          <w:rFonts w:ascii="Arial" w:eastAsia="Arial" w:hAnsi="Arial" w:cs="Arial"/>
          <w:sz w:val="24"/>
          <w:szCs w:val="24"/>
        </w:rPr>
      </w:pPr>
      <w:r w:rsidRPr="2030048C">
        <w:rPr>
          <w:rFonts w:ascii="Arial" w:eastAsia="Arial" w:hAnsi="Arial" w:cs="Arial"/>
          <w:sz w:val="24"/>
          <w:szCs w:val="24"/>
        </w:rPr>
        <w:br/>
      </w:r>
      <w:r w:rsidRPr="2030048C">
        <w:rPr>
          <w:rFonts w:ascii="Arial" w:eastAsia="Arial" w:hAnsi="Arial" w:cs="Arial"/>
          <w:color w:val="E74C3C"/>
          <w:sz w:val="24"/>
          <w:szCs w:val="24"/>
        </w:rPr>
        <w:t>•    TB1</w:t>
      </w:r>
      <w:r w:rsidRPr="2030048C">
        <w:rPr>
          <w:rFonts w:ascii="Arial" w:eastAsia="Arial" w:hAnsi="Arial" w:cs="Arial"/>
          <w:color w:val="E74C3C"/>
          <w:sz w:val="24"/>
          <w:szCs w:val="24"/>
        </w:rPr>
        <w:br/>
      </w:r>
      <w:r w:rsidRPr="2030048C">
        <w:rPr>
          <w:rFonts w:ascii="Arial" w:eastAsia="Arial" w:hAnsi="Arial" w:cs="Arial"/>
          <w:color w:val="E74C3C"/>
          <w:sz w:val="24"/>
          <w:szCs w:val="24"/>
        </w:rPr>
        <w:t>Autumn term only.</w:t>
      </w:r>
      <w:r w:rsidRPr="2030048C">
        <w:rPr>
          <w:rFonts w:ascii="Arial" w:eastAsia="Arial" w:hAnsi="Arial" w:cs="Arial"/>
          <w:color w:val="E74C3C"/>
          <w:sz w:val="24"/>
          <w:szCs w:val="24"/>
        </w:rPr>
        <w:br/>
      </w:r>
      <w:r w:rsidRPr="2030048C">
        <w:rPr>
          <w:rFonts w:ascii="Arial" w:eastAsia="Arial" w:hAnsi="Arial" w:cs="Arial"/>
          <w:color w:val="E74C3C"/>
          <w:sz w:val="24"/>
          <w:szCs w:val="24"/>
        </w:rPr>
        <w:t>Example: 29 Sept 2025 – 19 Dec 2025.</w:t>
      </w:r>
    </w:p>
    <w:p w:rsidRPr="2030048C" w:rsidP="2030048C">
      <w:pPr>
        <w:rPr>
          <w:rFonts w:ascii="Arial" w:eastAsia="Arial" w:hAnsi="Arial" w:cs="Arial"/>
          <w:sz w:val="24"/>
          <w:szCs w:val="24"/>
        </w:rPr>
      </w:pPr>
      <w:r w:rsidRPr="2030048C">
        <w:rPr>
          <w:rFonts w:ascii="Arial" w:eastAsia="Arial" w:hAnsi="Arial" w:cs="Arial"/>
          <w:sz w:val="24"/>
          <w:szCs w:val="24"/>
        </w:rPr>
        <w:br/>
      </w:r>
      <w:r w:rsidRPr="2030048C">
        <w:rPr>
          <w:rFonts w:ascii="Arial" w:eastAsia="Arial" w:hAnsi="Arial" w:cs="Arial"/>
          <w:color w:val="E74C3C"/>
          <w:sz w:val="24"/>
          <w:szCs w:val="24"/>
        </w:rPr>
        <w:t>•    TB2</w:t>
      </w:r>
      <w:r w:rsidRPr="2030048C">
        <w:rPr>
          <w:rFonts w:ascii="Arial" w:eastAsia="Arial" w:hAnsi="Arial" w:cs="Arial"/>
          <w:color w:val="E74C3C"/>
          <w:sz w:val="24"/>
          <w:szCs w:val="24"/>
        </w:rPr>
        <w:br/>
      </w:r>
      <w:r w:rsidRPr="2030048C">
        <w:rPr>
          <w:rFonts w:ascii="Arial" w:eastAsia="Arial" w:hAnsi="Arial" w:cs="Arial"/>
          <w:color w:val="E74C3C"/>
          <w:sz w:val="24"/>
          <w:szCs w:val="24"/>
        </w:rPr>
        <w:t>Spring term only.</w:t>
      </w:r>
      <w:r w:rsidRPr="2030048C">
        <w:rPr>
          <w:rFonts w:ascii="Arial" w:eastAsia="Arial" w:hAnsi="Arial" w:cs="Arial"/>
          <w:color w:val="E74C3C"/>
          <w:sz w:val="24"/>
          <w:szCs w:val="24"/>
        </w:rPr>
        <w:br/>
      </w:r>
      <w:r w:rsidRPr="2030048C">
        <w:rPr>
          <w:rFonts w:ascii="Arial" w:eastAsia="Arial" w:hAnsi="Arial" w:cs="Arial"/>
          <w:color w:val="E74C3C"/>
          <w:sz w:val="24"/>
          <w:szCs w:val="24"/>
        </w:rPr>
        <w:t>Example: 12 Jan 2026 – 24 Apr 2026.</w:t>
      </w:r>
    </w:p>
    <w:p w:rsidRPr="2030048C" w:rsidP="2030048C">
      <w:pPr>
        <w:rPr>
          <w:rFonts w:ascii="Arial" w:eastAsia="Arial" w:hAnsi="Arial" w:cs="Arial"/>
          <w:sz w:val="24"/>
          <w:szCs w:val="24"/>
        </w:rPr>
      </w:pPr>
      <w:r w:rsidRPr="2030048C">
        <w:rPr>
          <w:rFonts w:ascii="Arial" w:eastAsia="Arial" w:hAnsi="Arial" w:cs="Arial"/>
          <w:sz w:val="24"/>
          <w:szCs w:val="24"/>
        </w:rPr>
        <w:br/>
      </w:r>
      <w:r w:rsidRPr="2030048C">
        <w:rPr>
          <w:rFonts w:ascii="Arial" w:eastAsia="Arial" w:hAnsi="Arial" w:cs="Arial"/>
          <w:color w:val="E74C3C"/>
          <w:sz w:val="24"/>
          <w:szCs w:val="24"/>
        </w:rPr>
        <w:t>•    TB3</w:t>
      </w:r>
      <w:r w:rsidRPr="2030048C">
        <w:rPr>
          <w:rFonts w:ascii="Arial" w:eastAsia="Arial" w:hAnsi="Arial" w:cs="Arial"/>
          <w:color w:val="E74C3C"/>
          <w:sz w:val="24"/>
          <w:szCs w:val="24"/>
        </w:rPr>
        <w:br/>
      </w:r>
      <w:r w:rsidRPr="2030048C">
        <w:rPr>
          <w:rFonts w:ascii="Arial" w:eastAsia="Arial" w:hAnsi="Arial" w:cs="Arial"/>
          <w:color w:val="E74C3C"/>
          <w:sz w:val="24"/>
          <w:szCs w:val="24"/>
        </w:rPr>
        <w:t>Summer term only.</w:t>
      </w:r>
      <w:r w:rsidRPr="2030048C">
        <w:rPr>
          <w:rFonts w:ascii="Arial" w:eastAsia="Arial" w:hAnsi="Arial" w:cs="Arial"/>
          <w:color w:val="E74C3C"/>
          <w:sz w:val="24"/>
          <w:szCs w:val="24"/>
        </w:rPr>
        <w:br/>
      </w:r>
      <w:r w:rsidRPr="2030048C">
        <w:rPr>
          <w:rFonts w:ascii="Arial" w:eastAsia="Arial" w:hAnsi="Arial" w:cs="Arial"/>
          <w:color w:val="E74C3C"/>
          <w:sz w:val="24"/>
          <w:szCs w:val="24"/>
        </w:rPr>
        <w:t>Example: 25 May 2026 – 24 Jul 2026.</w:t>
      </w:r>
    </w:p>
    <w:p w:rsidRPr="2030048C" w:rsidP="2030048C">
      <w:pPr>
        <w:rPr>
          <w:rFonts w:ascii="Arial" w:eastAsia="Arial" w:hAnsi="Arial" w:cs="Arial"/>
          <w:sz w:val="24"/>
          <w:szCs w:val="24"/>
        </w:rPr>
      </w:pPr>
      <w:r w:rsidRPr="2030048C">
        <w:rPr>
          <w:rFonts w:ascii="Arial" w:eastAsia="Arial" w:hAnsi="Arial" w:cs="Arial"/>
          <w:sz w:val="24"/>
          <w:szCs w:val="24"/>
        </w:rPr>
        <w:br/>
      </w:r>
      <w:r w:rsidRPr="2030048C">
        <w:rPr>
          <w:rFonts w:ascii="Arial" w:eastAsia="Arial" w:hAnsi="Arial" w:cs="Arial"/>
          <w:color w:val="E74C3C"/>
          <w:sz w:val="24"/>
          <w:szCs w:val="24"/>
        </w:rPr>
        <w:t>•    SPAN</w:t>
      </w:r>
      <w:r w:rsidRPr="2030048C">
        <w:rPr>
          <w:rFonts w:ascii="Arial" w:eastAsia="Arial" w:hAnsi="Arial" w:cs="Arial"/>
          <w:color w:val="E74C3C"/>
          <w:sz w:val="24"/>
          <w:szCs w:val="24"/>
        </w:rPr>
        <w:br/>
      </w:r>
      <w:r w:rsidRPr="2030048C">
        <w:rPr>
          <w:rFonts w:ascii="Arial" w:eastAsia="Arial" w:hAnsi="Arial" w:cs="Arial"/>
          <w:color w:val="E74C3C"/>
          <w:sz w:val="24"/>
          <w:szCs w:val="24"/>
        </w:rPr>
        <w:t>Module spans two academic years.</w:t>
      </w:r>
      <w:r w:rsidRPr="2030048C">
        <w:rPr>
          <w:rFonts w:ascii="Arial" w:eastAsia="Arial" w:hAnsi="Arial" w:cs="Arial"/>
          <w:color w:val="E74C3C"/>
          <w:sz w:val="24"/>
          <w:szCs w:val="24"/>
        </w:rPr>
        <w:br/>
      </w:r>
      <w:r w:rsidRPr="2030048C">
        <w:rPr>
          <w:rFonts w:ascii="Arial" w:eastAsia="Arial" w:hAnsi="Arial" w:cs="Arial"/>
          <w:color w:val="E74C3C"/>
          <w:sz w:val="24"/>
          <w:szCs w:val="24"/>
        </w:rPr>
        <w:t>•    Internally recorded as SPAN1 (first part) and SPAN2 (second part) in SITS.</w:t>
      </w:r>
      <w:r w:rsidRPr="2030048C">
        <w:rPr>
          <w:rFonts w:ascii="Arial" w:eastAsia="Arial" w:hAnsi="Arial" w:cs="Arial"/>
          <w:color w:val="E74C3C"/>
          <w:sz w:val="24"/>
          <w:szCs w:val="24"/>
        </w:rPr>
        <w:br/>
      </w:r>
      <w:r w:rsidRPr="2030048C">
        <w:rPr>
          <w:rFonts w:ascii="Arial" w:eastAsia="Arial" w:hAnsi="Arial" w:cs="Arial"/>
          <w:color w:val="E74C3C"/>
          <w:sz w:val="24"/>
          <w:szCs w:val="24"/>
        </w:rPr>
        <w:t>•    For CMS entries, using SPAN is sufficient as long as the team understands it covers two academic years.</w:t>
      </w:r>
      <w:r w:rsidRPr="2030048C">
        <w:rPr>
          <w:rFonts w:ascii="Arial" w:eastAsia="Arial" w:hAnsi="Arial" w:cs="Arial"/>
          <w:color w:val="E74C3C"/>
          <w:sz w:val="24"/>
          <w:szCs w:val="24"/>
        </w:rPr>
        <w:br/>
      </w:r>
      <w:r w:rsidRPr="2030048C">
        <w:rPr>
          <w:rFonts w:ascii="Arial" w:eastAsia="Arial" w:hAnsi="Arial" w:cs="Arial"/>
          <w:color w:val="E74C3C"/>
          <w:sz w:val="24"/>
          <w:szCs w:val="24"/>
        </w:rPr>
        <w:t>Example: 1 May 2025 – 1 Sept 2026.</w:t>
      </w:r>
    </w:p>
    <w:p w:rsidRPr="2030048C" w:rsidP="2030048C">
      <w:pPr>
        <w:rPr>
          <w:rFonts w:ascii="Arial" w:eastAsia="Arial" w:hAnsi="Arial" w:cs="Arial"/>
          <w:sz w:val="24"/>
          <w:szCs w:val="24"/>
        </w:rPr>
      </w:pPr>
      <w:r w:rsidRPr="2030048C">
        <w:rPr>
          <w:rFonts w:ascii="Arial" w:eastAsia="Arial" w:hAnsi="Arial" w:cs="Arial"/>
          <w:sz w:val="24"/>
          <w:szCs w:val="24"/>
        </w:rPr>
        <w:br/>
      </w:r>
      <w:r w:rsidRPr="2030048C">
        <w:rPr>
          <w:rFonts w:ascii="Arial" w:eastAsia="Arial" w:hAnsi="Arial" w:cs="Arial"/>
          <w:color w:val="E74C3C"/>
          <w:sz w:val="24"/>
          <w:szCs w:val="24"/>
        </w:rPr>
        <w:t>•    ACYR</w:t>
      </w:r>
      <w:r w:rsidRPr="2030048C">
        <w:rPr>
          <w:rFonts w:ascii="Arial" w:eastAsia="Arial" w:hAnsi="Arial" w:cs="Arial"/>
          <w:color w:val="E74C3C"/>
          <w:sz w:val="24"/>
          <w:szCs w:val="24"/>
        </w:rPr>
        <w:br/>
      </w:r>
      <w:r w:rsidRPr="2030048C">
        <w:rPr>
          <w:rFonts w:ascii="Arial" w:eastAsia="Arial" w:hAnsi="Arial" w:cs="Arial"/>
          <w:color w:val="E74C3C"/>
          <w:sz w:val="24"/>
          <w:szCs w:val="24"/>
        </w:rPr>
        <w:t>Module taught within dates that do not fit standard slots.</w:t>
      </w:r>
      <w:r w:rsidRPr="2030048C">
        <w:rPr>
          <w:rFonts w:ascii="Arial" w:eastAsia="Arial" w:hAnsi="Arial" w:cs="Arial"/>
          <w:color w:val="E74C3C"/>
          <w:sz w:val="24"/>
          <w:szCs w:val="24"/>
        </w:rPr>
        <w:br/>
      </w:r>
      <w:r w:rsidRPr="2030048C">
        <w:rPr>
          <w:rFonts w:ascii="Arial" w:eastAsia="Arial" w:hAnsi="Arial" w:cs="Arial"/>
          <w:color w:val="E74C3C"/>
          <w:sz w:val="24"/>
          <w:szCs w:val="24"/>
        </w:rPr>
        <w:t>Example: 1 Aug 2025 – 1 Oct 2025.</w:t>
      </w:r>
      <w:r w:rsidRPr="2030048C">
        <w:rPr>
          <w:rFonts w:ascii="Arial" w:eastAsia="Arial" w:hAnsi="Arial" w:cs="Arial"/>
          <w:sz w:val="24"/>
          <w:szCs w:val="24"/>
        </w:rPr>
        <w:br/>
      </w:r>
      <w:r w:rsidRPr="2030048C">
        <w:rPr>
          <w:rFonts w:ascii="Arial" w:eastAsia="Arial" w:hAnsi="Arial" w:cs="Arial"/>
          <w:sz w:val="24"/>
          <w:szCs w:val="24"/>
        </w:rPr>
        <w:t> </w:t>
      </w:r>
    </w:p>
    <w:p w:rsidR="0184B557" w:rsidP="2030048C"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multilevel"/>
    <w:tmpl w:val="74989B07"/>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numbering" Target="numbering.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4FF6D9FC-CAA4-4104-B227-5F5F9557A34A}"/>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