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Electronic and Communications Engineering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and Communications Engineering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Electronic and Communications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H400 (full-time, part-time) H401 (sandwich)</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Moratuwa, Sri Lanka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0"/>
                      <w:szCs w:val="20"/>
                      <w:shd w:val="clear" w:color="auto" w:fill="FFFFFF"/>
                    </w:rPr>
                    <w:t xml:space="preserve">The minimum entry qualifications for the programme are from </w:t>
                  </w:r>
                  <w:r w:rsidRPr="2030048C">
                    <w:rPr>
                      <w:rStyle w:val="normaltextrun"/>
                      <w:rFonts w:ascii="Arial" w:eastAsia="Arial" w:hAnsi="Arial" w:cs="Arial"/>
                      <w:b w:val="0"/>
                      <w:bCs w:val="0"/>
                      <w:color w:val="000000"/>
                      <w:sz w:val="20"/>
                      <w:szCs w:val="20"/>
                      <w:shd w:val="clear" w:color="auto" w:fill="FFFFFF"/>
                    </w:rPr>
                    <w:t>BTEC HND Levels: a</w:t>
                  </w:r>
                  <w:r w:rsidRPr="2030048C">
                    <w:rPr>
                      <w:rStyle w:val="normaltextrun"/>
                      <w:rFonts w:ascii="Arial" w:eastAsia="Arial" w:hAnsi="Arial" w:cs="Arial"/>
                      <w:b w:val="0"/>
                      <w:bCs w:val="0"/>
                      <w:color w:val="000000"/>
                      <w:sz w:val="20"/>
                      <w:szCs w:val="20"/>
                      <w:shd w:val="clear" w:color="auto" w:fill="FFFFFF"/>
                    </w:rPr>
                    <w:t xml:space="preserve"> pass in the relevant HNDto include a pass in the nineteen units listed in Table below (or their equivalent) and achievement of an overall score of 300 credit points of which150 must be at Level 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i/>
                      <w:iCs/>
                      <w:color w:val="000000"/>
                      <w:sz w:val="14"/>
                      <w:szCs w:val="14"/>
                      <w:shd w:val="clear" w:color="auto" w:fill="FFFFFF"/>
                    </w:rPr>
                    <w:t>Pearson BTEC HND in Electrical and Electronic Engineering</w:t>
                  </w:r>
                </w:p>
                <w:tbl>
                  <w:tblPr>
                    <w:tblStyle w:val="Table"/>
                    <w:tblCellSpacing w:w="15" w:type="dxa"/>
                    <w:tblCellMar>
                      <w:top w:w="15" w:type="dxa"/>
                      <w:left w:w="15" w:type="dxa"/>
                      <w:bottom w:w="15" w:type="dxa"/>
                      <w:right w:w="15" w:type="dxa"/>
                    </w:tblCellMar>
                    <w:tblLook w:val="05E0"/>
                  </w:tblPr>
                  <w:tblGrid>
                    <w:gridCol w:w="3251"/>
                    <w:gridCol w:w="1493"/>
                    <w:gridCol w:w="906"/>
                    <w:gridCol w:w="30"/>
                    <w:gridCol w:w="30"/>
                  </w:tblGrid>
                  <w:tr>
                    <w:tblPrEx>
                      <w:tblLook w:val="05E0"/>
                    </w:tblPrEx>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14"/>
                            <w:szCs w:val="14"/>
                            <w:shd w:val="clear" w:color="auto" w:fill="FFFFFF"/>
                          </w:rPr>
                          <w:t>Subject Details</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14"/>
                            <w:szCs w:val="14"/>
                            <w:shd w:val="clear" w:color="auto" w:fill="FFFFFF"/>
                          </w:rPr>
                          <w:t>QCF Level</w:t>
                        </w:r>
                      </w:p>
                    </w:tc>
                    <w:tc>
                      <w:tcPr>
                        <w:noWrap w:val="0"/>
                        <w:tcMar>
                          <w:top w:w="15" w:type="dxa"/>
                          <w:left w:w="15" w:type="dxa"/>
                          <w:bottom w:w="15" w:type="dxa"/>
                          <w:right w:w="15" w:type="dxa"/>
                        </w:tcMar>
                        <w:vAlign w:val="center"/>
                        <w:hideMark/>
                      </w:tcPr>
                      <w:p w:rsidRPr="2030048C" w:rsidP="2030048C">
                        <w:pPr>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14"/>
                            <w:szCs w:val="14"/>
                            <w:shd w:val="clear" w:color="auto" w:fill="FFFFFF"/>
                          </w:rPr>
                          <w:t>Credit Value</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1: Engineering Design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2: Engineering Maths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3: Engineering Science</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4: Managing a Professional Engineering Project</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19: Electrical and Electronic Principles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20: Digital Principles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21: Electrical Machines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35: Professional Engineering Management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15: Automation, Robotics and PLCs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39: Further Mathematics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22: Electronic Circuits and Devices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118: Telecommunication Principles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4</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47: Analogue Electronic Systems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46: Embedded Systems</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Unit 54: Further Control Systems Engineering</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52: Further Electrical, Electronic and Principles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44: Industrial Power, Electronics and Storage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34: Research Project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30</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 xml:space="preserve">Unit 45: Industrial Systems      </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5</w:t>
                        </w:r>
                      </w:p>
                    </w:tc>
                    <w:tc>
                      <w:tcPr>
                        <w:noWrap w:val="0"/>
                        <w:tcMar>
                          <w:top w:w="15" w:type="dxa"/>
                          <w:left w:w="15" w:type="dxa"/>
                          <w:bottom w:w="15" w:type="dxa"/>
                          <w:right w:w="15" w:type="dxa"/>
                        </w:tcMar>
                        <w:vAlign w:val="center"/>
                        <w:hideMark/>
                      </w:tcPr>
                      <w:p w:rsidRPr="2030048C" w:rsidP="2030048C">
                        <w:pPr>
                          <w:ind w:left="720"/>
                          <w:jc w:val="cente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14"/>
                            <w:szCs w:val="14"/>
                            <w:shd w:val="clear" w:color="auto" w:fill="FFFFFF"/>
                          </w:rPr>
                          <w:t>15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ind w:left="795"/>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ind w:left="72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14"/>
                            <w:szCs w:val="14"/>
                            <w:shd w:val="clear" w:color="auto" w:fill="FFFFFF"/>
                          </w:rPr>
                          <w:t>QCF Level 5 units</w:t>
                        </w: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c>
                      <w:tcPr>
                        <w:vAlign w:val="center"/>
                        <w:hideMark/>
                      </w:tcPr>
                      <w:p w:rsidRPr="2030048C">
                        <w:pPr>
                          <w:rPr>
                            <w:rStyle w:val="normaltextrun"/>
                            <w:rFonts w:ascii="Arial" w:eastAsia="Arial" w:hAnsi="Arial" w:cs="Arial"/>
                            <w:b w:val="0"/>
                            <w:bCs w:val="0"/>
                            <w:color w:val="000000"/>
                            <w:sz w:val="22"/>
                            <w:szCs w:val="22"/>
                            <w:shd w:val="clear" w:color="auto" w:fill="FFFFFF"/>
                          </w:rPr>
                        </w:pP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Applications with similar or equivalent qualifications will be considered on a case-by-case basis (including both HND from other providers, as well as mature applicants with industrial experience)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2"/>
                      <w:szCs w:val="22"/>
                      <w:shd w:val="clear" w:color="auto" w:fill="FFFFFF"/>
                    </w:rPr>
                    <w:t xml:space="preserve">English Language Requirements: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IELTS–minimum 6.0 overall, with no element below 5.5;</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Kingston University have also approved the following mapping as equivalent alternatives to IELTS requirements;</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GCE O Level English Language: Credit, Distinction or Very good pass</w:t>
                  </w:r>
                </w:p>
                <w:p w:rsidRPr="2030048C" w:rsidP="2030048C">
                  <w:pPr>
                    <w:numPr>
                      <w:ilvl w:val="0"/>
                      <w:numId w:val="12"/>
                    </w:numPr>
                    <w:ind w:left="720" w:hanging="36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ESOFT English for Academic Purposes modules in reading, writing, listening and speaking</w:t>
                  </w:r>
                  <w:r w:rsidRPr="2030048C">
                    <w:rPr>
                      <w:rStyle w:val="normaltextrun"/>
                      <w:rFonts w:ascii="Arial" w:eastAsia="Arial" w:hAnsi="Arial" w:cs="Arial"/>
                      <w:b w:val="0"/>
                      <w:bCs w:val="0"/>
                      <w:color w:val="000000"/>
                      <w:sz w:val="22"/>
                      <w:szCs w:val="22"/>
                      <w:shd w:val="clear" w:color="auto" w:fill="FFFFFF"/>
                    </w:rPr>
                    <w:t xml:space="preserve">: results which equate to our normal entry conditions in the following ways (*NB: The overall grade to be an average of the four skills module results.) </w:t>
                  </w:r>
                </w:p>
                <w:tbl>
                  <w:tblPr>
                    <w:tblStyle w:val="Table"/>
                    <w:tblCellSpacing w:w="15" w:type="dxa"/>
                    <w:tblCellMar>
                      <w:top w:w="15" w:type="dxa"/>
                      <w:left w:w="15" w:type="dxa"/>
                      <w:bottom w:w="15" w:type="dxa"/>
                      <w:right w:w="15" w:type="dxa"/>
                    </w:tblCellMar>
                    <w:tblLook w:val="05E0"/>
                  </w:tblPr>
                  <w:tblGrid>
                    <w:gridCol w:w="641"/>
                    <w:gridCol w:w="763"/>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ESOFT</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58+</w:t>
                        </w:r>
                      </w:p>
                    </w:tc>
                  </w:tr>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6.0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50-57</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pStyle w:val="MsoBodyText3"/>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right="-15"/>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 Accredited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ight="-1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programme aims to provide opportunities for students to undertake a broad-based education in electronic and communication engineering, and to acquire appropriate knowledge and understanding, of engineering skills and key skills, to become a professional Electrical, Electronic and Communication Engineer. It is also aimed for enabling graduates to follow careers in other professional disciplines where clear, logical, numerate skills in combination with the ability to solve problems, communicate solutions and work in teams are valued.</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More specific aims of the programme are: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produce graduates with the required breadth and depth of theoretical and practical knowledge of established technologies and methods in electronic and communication Engineering;</w:t>
      </w:r>
    </w:p>
    <w:p w:rsidRPr="2030048C" w:rsidP="2030048C">
      <w:pPr>
        <w:pStyle w:val="ListParagraph"/>
        <w:ind w:left="540" w:right="-1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graduates to develop analytical and problem-solving skills and to evaluate evidence and assumptions to reach sound judgements and communicate these effectively;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prepare graduates with a creative approach to the solution of electronic and communication engineering challenges and the requisite technical skills to realise these solutions with responsibility for project management;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equip graduates with the research skills required for postgraduate study and employability skills required for work in the engineering fields;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furnish graduates with a firm grasp of Engineering Design, Sustainability and ‘Risk &amp; Health and Safety’ principles.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8"/>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graduates skills to recognise the need to continually develop themselves in order to exercise their Professional judgement.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familiarity with theories of applied engineering sciences appropriate for electronic and communication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Define and analyse different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Understand issues in preparing dataset for use in applied analytical mode and to design and plan communication system for problem solving.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scientific principles of electronic and communication system to manage projects in multidisciplinary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compare different case studies to resolve problems that occur in the field.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research and collect data from different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knowledge and understanding of different components and circuits used within electronic and communication engineering industries.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theoretical analysis, modelling and simulation to formulate and to solve problems in electronic and communication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electronic &amp; communication related projects within proper technical, safety, and ethical frameworks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and appreciation of the social, environmental, ethical, and economic considerations, as well as human factors, affecting the utilization of electronic and communication related equipment and the impact of introducing new technologies especially in the field of communication and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industry-standard computer software in the solution of practical problems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their studies to identify the different energy types, appropriate environmental control techniques, and different technical installations affecting electronic and communication related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Drive different alternative solutions and take decisions about system implementations taking into consideration: balanced costs, benefits, technology applicability, safety, quality, reliability, site constraints, and environmental impact.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 wide variety of learning by adopting the basic principles of drawing.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different electronic and communication system structures and execution, design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administration and management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9"/>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module structure can be found below: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and Communications Engineering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and Communications Engineering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Instrumentation, Control and Group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EE6012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Optical Fibre Communications and IoT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EE6015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Electrical Systems Design and Installation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EE6011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Renewable Energy Systems and Energy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EE6013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right="120"/>
        <w:jc w:val="left"/>
        <w:rPr>
          <w:rFonts w:ascii="Arial" w:eastAsia="Arial" w:hAnsi="Arial" w:cs="Arial"/>
          <w:sz w:val="24"/>
          <w:szCs w:val="24"/>
        </w:rPr>
      </w:pPr>
      <w:r w:rsidRPr="2030048C">
        <w:rPr>
          <w:rFonts w:ascii="Arial" w:eastAsia="Arial" w:hAnsi="Arial" w:cs="Arial"/>
          <w:sz w:val="22"/>
          <w:szCs w:val="22"/>
          <w:u w:val="single"/>
        </w:rPr>
        <w:t>E</w:t>
      </w:r>
      <w:r w:rsidRPr="2030048C">
        <w:rPr>
          <w:rFonts w:ascii="Arial" w:eastAsia="Arial" w:hAnsi="Arial" w:cs="Arial"/>
          <w:sz w:val="22"/>
          <w:szCs w:val="22"/>
          <w:u w:val="single"/>
        </w:rPr>
        <w:t>n</w:t>
      </w:r>
      <w:r w:rsidRPr="2030048C">
        <w:rPr>
          <w:rFonts w:ascii="Arial" w:eastAsia="Arial" w:hAnsi="Arial" w:cs="Arial"/>
          <w:sz w:val="22"/>
          <w:szCs w:val="22"/>
          <w:u w:val="single"/>
        </w:rPr>
        <w:t>g</w:t>
      </w:r>
      <w:r w:rsidRPr="2030048C">
        <w:rPr>
          <w:rFonts w:ascii="Arial" w:eastAsia="Arial" w:hAnsi="Arial" w:cs="Arial"/>
          <w:sz w:val="22"/>
          <w:szCs w:val="22"/>
          <w:u w:val="single"/>
        </w:rPr>
        <w:t>i</w:t>
      </w:r>
      <w:r w:rsidRPr="2030048C">
        <w:rPr>
          <w:rFonts w:ascii="Arial" w:eastAsia="Arial" w:hAnsi="Arial" w:cs="Arial"/>
          <w:sz w:val="22"/>
          <w:szCs w:val="22"/>
          <w:u w:val="single"/>
        </w:rPr>
        <w:t>n</w:t>
      </w:r>
      <w:r w:rsidRPr="2030048C">
        <w:rPr>
          <w:rFonts w:ascii="Arial" w:eastAsia="Arial" w:hAnsi="Arial" w:cs="Arial"/>
          <w:sz w:val="22"/>
          <w:szCs w:val="22"/>
          <w:u w:val="single"/>
        </w:rPr>
        <w:t>e</w:t>
      </w:r>
      <w:r w:rsidRPr="2030048C">
        <w:rPr>
          <w:rFonts w:ascii="Arial" w:eastAsia="Arial" w:hAnsi="Arial" w:cs="Arial"/>
          <w:sz w:val="22"/>
          <w:szCs w:val="22"/>
          <w:u w:val="single"/>
        </w:rPr>
        <w:t>eri</w:t>
      </w:r>
      <w:r w:rsidRPr="2030048C">
        <w:rPr>
          <w:rFonts w:ascii="Arial" w:eastAsia="Arial" w:hAnsi="Arial" w:cs="Arial"/>
          <w:sz w:val="22"/>
          <w:szCs w:val="22"/>
          <w:u w:val="single"/>
        </w:rPr>
        <w:t>n</w:t>
      </w:r>
      <w:r w:rsidRPr="2030048C">
        <w:rPr>
          <w:rFonts w:ascii="Arial" w:eastAsia="Arial" w:hAnsi="Arial" w:cs="Arial"/>
          <w:sz w:val="22"/>
          <w:szCs w:val="22"/>
          <w:u w:val="single"/>
        </w:rPr>
        <w:t>gsu</w:t>
      </w:r>
      <w:r w:rsidRPr="2030048C">
        <w:rPr>
          <w:rFonts w:ascii="Arial" w:eastAsia="Arial" w:hAnsi="Arial" w:cs="Arial"/>
          <w:sz w:val="22"/>
          <w:szCs w:val="22"/>
          <w:u w:val="single"/>
        </w:rPr>
        <w:t>b</w:t>
      </w:r>
      <w:r w:rsidRPr="2030048C">
        <w:rPr>
          <w:rFonts w:ascii="Arial" w:eastAsia="Arial" w:hAnsi="Arial" w:cs="Arial"/>
          <w:sz w:val="22"/>
          <w:szCs w:val="22"/>
          <w:u w:val="single"/>
        </w:rPr>
        <w:t>j</w:t>
      </w:r>
      <w:r w:rsidRPr="2030048C">
        <w:rPr>
          <w:rFonts w:ascii="Arial" w:eastAsia="Arial" w:hAnsi="Arial" w:cs="Arial"/>
          <w:sz w:val="22"/>
          <w:szCs w:val="22"/>
          <w:u w:val="single"/>
        </w:rPr>
        <w:t>e</w:t>
      </w:r>
      <w:r w:rsidRPr="2030048C">
        <w:rPr>
          <w:rFonts w:ascii="Arial" w:eastAsia="Arial" w:hAnsi="Arial" w:cs="Arial"/>
          <w:sz w:val="22"/>
          <w:szCs w:val="22"/>
          <w:u w:val="single"/>
        </w:rPr>
        <w:t>c</w:t>
      </w:r>
      <w:r w:rsidRPr="2030048C">
        <w:rPr>
          <w:rFonts w:ascii="Arial" w:eastAsia="Arial" w:hAnsi="Arial" w:cs="Arial"/>
          <w:sz w:val="22"/>
          <w:szCs w:val="22"/>
          <w:u w:val="single"/>
        </w:rPr>
        <w:t>tb</w:t>
      </w:r>
      <w:r w:rsidRPr="2030048C">
        <w:rPr>
          <w:rFonts w:ascii="Arial" w:eastAsia="Arial" w:hAnsi="Arial" w:cs="Arial"/>
          <w:sz w:val="22"/>
          <w:szCs w:val="22"/>
          <w:u w:val="single"/>
        </w:rPr>
        <w:t>e</w:t>
      </w:r>
      <w:r w:rsidRPr="2030048C">
        <w:rPr>
          <w:rFonts w:ascii="Arial" w:eastAsia="Arial" w:hAnsi="Arial" w:cs="Arial"/>
          <w:sz w:val="22"/>
          <w:szCs w:val="22"/>
          <w:u w:val="single"/>
        </w:rPr>
        <w:t>n</w:t>
      </w:r>
      <w:r w:rsidRPr="2030048C">
        <w:rPr>
          <w:rFonts w:ascii="Arial" w:eastAsia="Arial" w:hAnsi="Arial" w:cs="Arial"/>
          <w:sz w:val="22"/>
          <w:szCs w:val="22"/>
          <w:u w:val="single"/>
        </w:rPr>
        <w:t>chma</w:t>
      </w:r>
      <w:r w:rsidRPr="2030048C">
        <w:rPr>
          <w:rFonts w:ascii="Arial" w:eastAsia="Arial" w:hAnsi="Arial" w:cs="Arial"/>
          <w:sz w:val="22"/>
          <w:szCs w:val="22"/>
          <w:u w:val="single"/>
        </w:rPr>
        <w:t>r</w:t>
      </w:r>
      <w:r w:rsidRPr="2030048C">
        <w:rPr>
          <w:rFonts w:ascii="Arial" w:eastAsia="Arial" w:hAnsi="Arial" w:cs="Arial"/>
          <w:sz w:val="22"/>
          <w:szCs w:val="22"/>
          <w:u w:val="single"/>
        </w:rPr>
        <w:t>k:</w:t>
      </w:r>
    </w:p>
    <w:p w:rsidRPr="2030048C" w:rsidP="2030048C">
      <w:pPr>
        <w:ind w:left="720" w:right="120"/>
        <w:jc w:val="left"/>
        <w:rPr>
          <w:rFonts w:ascii="Arial" w:eastAsia="Arial" w:hAnsi="Arial" w:cs="Arial"/>
          <w:sz w:val="24"/>
          <w:szCs w:val="24"/>
        </w:rPr>
      </w:pPr>
      <w:hyperlink r:id="rId11" w:history="1">
        <w:r w:rsidRPr="2030048C">
          <w:rPr>
            <w:rFonts w:ascii="Arial" w:eastAsia="Arial" w:hAnsi="Arial" w:cs="Arial"/>
            <w:sz w:val="22"/>
            <w:szCs w:val="22"/>
          </w:rPr>
          <w:t>https://www.qaa.ac.uk/docs/qaa/subject-benchmark-statements/subject-benchmark-statement-engineering.pdf?sfvrsn=1f2c881_4</w:t>
        </w:r>
      </w:hyperlink>
    </w:p>
    <w:p w:rsidRPr="2030048C" w:rsidP="2030048C">
      <w:pPr>
        <w:ind w:left="720" w:right="12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right="120"/>
        <w:jc w:val="left"/>
        <w:rPr>
          <w:rFonts w:ascii="Arial" w:eastAsia="Arial" w:hAnsi="Arial" w:cs="Arial"/>
          <w:sz w:val="24"/>
          <w:szCs w:val="24"/>
        </w:rPr>
      </w:pPr>
      <w:r w:rsidRPr="2030048C">
        <w:rPr>
          <w:rFonts w:ascii="Arial" w:eastAsia="Arial" w:hAnsi="Arial" w:cs="Arial"/>
          <w:sz w:val="22"/>
          <w:szCs w:val="22"/>
          <w:u w:val="single"/>
        </w:rPr>
        <w:t xml:space="preserve">UK Quality Code for </w:t>
      </w:r>
      <w:r w:rsidRPr="2030048C">
        <w:rPr>
          <w:rFonts w:ascii="Arial" w:eastAsia="Arial" w:hAnsi="Arial" w:cs="Arial"/>
          <w:sz w:val="22"/>
          <w:szCs w:val="22"/>
          <w:u w:val="single"/>
        </w:rPr>
        <w:t>H</w:t>
      </w:r>
      <w:r w:rsidRPr="2030048C">
        <w:rPr>
          <w:rFonts w:ascii="Arial" w:eastAsia="Arial" w:hAnsi="Arial" w:cs="Arial"/>
          <w:sz w:val="22"/>
          <w:szCs w:val="22"/>
          <w:u w:val="single"/>
        </w:rPr>
        <w:t>i</w:t>
      </w:r>
      <w:r w:rsidRPr="2030048C">
        <w:rPr>
          <w:rFonts w:ascii="Arial" w:eastAsia="Arial" w:hAnsi="Arial" w:cs="Arial"/>
          <w:sz w:val="22"/>
          <w:szCs w:val="22"/>
          <w:u w:val="single"/>
        </w:rPr>
        <w:t>g</w:t>
      </w:r>
      <w:r w:rsidRPr="2030048C">
        <w:rPr>
          <w:rFonts w:ascii="Arial" w:eastAsia="Arial" w:hAnsi="Arial" w:cs="Arial"/>
          <w:sz w:val="22"/>
          <w:szCs w:val="22"/>
          <w:u w:val="single"/>
        </w:rPr>
        <w:t>h</w:t>
      </w:r>
      <w:r w:rsidRPr="2030048C">
        <w:rPr>
          <w:rFonts w:ascii="Arial" w:eastAsia="Arial" w:hAnsi="Arial" w:cs="Arial"/>
          <w:sz w:val="22"/>
          <w:szCs w:val="22"/>
          <w:u w:val="single"/>
        </w:rPr>
        <w:t>e</w:t>
      </w:r>
      <w:r w:rsidRPr="2030048C">
        <w:rPr>
          <w:rFonts w:ascii="Arial" w:eastAsia="Arial" w:hAnsi="Arial" w:cs="Arial"/>
          <w:sz w:val="22"/>
          <w:szCs w:val="22"/>
          <w:u w:val="single"/>
        </w:rPr>
        <w:t xml:space="preserve">r </w:t>
      </w:r>
      <w:r w:rsidRPr="2030048C">
        <w:rPr>
          <w:rFonts w:ascii="Arial" w:eastAsia="Arial" w:hAnsi="Arial" w:cs="Arial"/>
          <w:sz w:val="22"/>
          <w:szCs w:val="22"/>
          <w:u w:val="single"/>
        </w:rPr>
        <w:t>E</w:t>
      </w:r>
      <w:r w:rsidRPr="2030048C">
        <w:rPr>
          <w:rFonts w:ascii="Arial" w:eastAsia="Arial" w:hAnsi="Arial" w:cs="Arial"/>
          <w:sz w:val="22"/>
          <w:szCs w:val="22"/>
          <w:u w:val="single"/>
        </w:rPr>
        <w:t>d</w:t>
      </w:r>
      <w:r w:rsidRPr="2030048C">
        <w:rPr>
          <w:rFonts w:ascii="Arial" w:eastAsia="Arial" w:hAnsi="Arial" w:cs="Arial"/>
          <w:sz w:val="22"/>
          <w:szCs w:val="22"/>
          <w:u w:val="single"/>
        </w:rPr>
        <w:t>u</w:t>
      </w:r>
      <w:r w:rsidRPr="2030048C">
        <w:rPr>
          <w:rFonts w:ascii="Arial" w:eastAsia="Arial" w:hAnsi="Arial" w:cs="Arial"/>
          <w:sz w:val="22"/>
          <w:szCs w:val="22"/>
          <w:u w:val="single"/>
        </w:rPr>
        <w:t>cati</w:t>
      </w:r>
      <w:r w:rsidRPr="2030048C">
        <w:rPr>
          <w:rFonts w:ascii="Arial" w:eastAsia="Arial" w:hAnsi="Arial" w:cs="Arial"/>
          <w:sz w:val="22"/>
          <w:szCs w:val="22"/>
          <w:u w:val="single"/>
        </w:rPr>
        <w:t>o</w:t>
      </w:r>
      <w:r w:rsidRPr="2030048C">
        <w:rPr>
          <w:rFonts w:ascii="Arial" w:eastAsia="Arial" w:hAnsi="Arial" w:cs="Arial"/>
          <w:sz w:val="22"/>
          <w:szCs w:val="22"/>
          <w:u w:val="single"/>
        </w:rPr>
        <w:t>n</w:t>
      </w:r>
    </w:p>
    <w:p w:rsidRPr="2030048C" w:rsidP="2030048C">
      <w:pPr>
        <w:ind w:left="720" w:right="120"/>
        <w:jc w:val="left"/>
        <w:rPr>
          <w:rFonts w:ascii="Arial" w:eastAsia="Arial" w:hAnsi="Arial" w:cs="Arial"/>
          <w:sz w:val="24"/>
          <w:szCs w:val="24"/>
        </w:rPr>
      </w:pPr>
      <w:hyperlink r:id="rId12" w:history="1">
        <w:r w:rsidRPr="2030048C">
          <w:rPr>
            <w:rFonts w:ascii="Arial" w:eastAsia="Arial" w:hAnsi="Arial" w:cs="Arial"/>
            <w:sz w:val="20"/>
            <w:szCs w:val="20"/>
          </w:rPr>
          <w:t>https://www.qaa.ac.uk/docs/qaa/quality-code/qualifications-frameworks.pdf</w:t>
        </w:r>
      </w:hyperlink>
    </w:p>
    <w:p w:rsidRPr="2030048C" w:rsidP="2030048C">
      <w:pPr>
        <w:ind w:left="72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right="-15"/>
        <w:jc w:val="left"/>
        <w:rPr>
          <w:rFonts w:ascii="Arial" w:eastAsia="Arial" w:hAnsi="Arial" w:cs="Arial"/>
          <w:sz w:val="24"/>
          <w:szCs w:val="24"/>
        </w:rPr>
      </w:pPr>
      <w:r w:rsidRPr="2030048C">
        <w:rPr>
          <w:rFonts w:ascii="Arial" w:eastAsia="Arial" w:hAnsi="Arial" w:cs="Arial"/>
          <w:color w:val="000000"/>
          <w:sz w:val="22"/>
          <w:szCs w:val="22"/>
          <w:u w:val="single"/>
        </w:rPr>
        <w:t>KU S</w:t>
      </w:r>
      <w:r w:rsidRPr="2030048C">
        <w:rPr>
          <w:rFonts w:ascii="Arial" w:eastAsia="Arial" w:hAnsi="Arial" w:cs="Arial"/>
          <w:color w:val="000000"/>
          <w:sz w:val="22"/>
          <w:szCs w:val="22"/>
          <w:u w:val="single"/>
        </w:rPr>
        <w:t>ch</w:t>
      </w:r>
      <w:r w:rsidRPr="2030048C">
        <w:rPr>
          <w:rFonts w:ascii="Arial" w:eastAsia="Arial" w:hAnsi="Arial" w:cs="Arial"/>
          <w:color w:val="000000"/>
          <w:sz w:val="22"/>
          <w:szCs w:val="22"/>
          <w:u w:val="single"/>
        </w:rPr>
        <w:t>o</w:t>
      </w:r>
      <w:r w:rsidRPr="2030048C">
        <w:rPr>
          <w:rFonts w:ascii="Arial" w:eastAsia="Arial" w:hAnsi="Arial" w:cs="Arial"/>
          <w:color w:val="000000"/>
          <w:sz w:val="22"/>
          <w:szCs w:val="22"/>
          <w:u w:val="single"/>
        </w:rPr>
        <w:t>ol</w:t>
      </w:r>
      <w:r w:rsidRPr="2030048C">
        <w:rPr>
          <w:rFonts w:ascii="Arial" w:eastAsia="Arial" w:hAnsi="Arial" w:cs="Arial"/>
          <w:color w:val="000000"/>
          <w:sz w:val="22"/>
          <w:szCs w:val="22"/>
          <w:u w:val="single"/>
        </w:rPr>
        <w:t>W</w:t>
      </w:r>
      <w:r w:rsidRPr="2030048C">
        <w:rPr>
          <w:rFonts w:ascii="Arial" w:eastAsia="Arial" w:hAnsi="Arial" w:cs="Arial"/>
          <w:color w:val="000000"/>
          <w:sz w:val="22"/>
          <w:szCs w:val="22"/>
          <w:u w:val="single"/>
        </w:rPr>
        <w:t>e</w:t>
      </w:r>
      <w:r w:rsidRPr="2030048C">
        <w:rPr>
          <w:rFonts w:ascii="Arial" w:eastAsia="Arial" w:hAnsi="Arial" w:cs="Arial"/>
          <w:color w:val="000000"/>
          <w:sz w:val="22"/>
          <w:szCs w:val="22"/>
          <w:u w:val="single"/>
        </w:rPr>
        <w:t>bs</w:t>
      </w:r>
      <w:r w:rsidRPr="2030048C">
        <w:rPr>
          <w:rFonts w:ascii="Arial" w:eastAsia="Arial" w:hAnsi="Arial" w:cs="Arial"/>
          <w:color w:val="000000"/>
          <w:sz w:val="22"/>
          <w:szCs w:val="22"/>
          <w:u w:val="single"/>
        </w:rPr>
        <w:t>i</w:t>
      </w:r>
      <w:r w:rsidRPr="2030048C">
        <w:rPr>
          <w:rFonts w:ascii="Arial" w:eastAsia="Arial" w:hAnsi="Arial" w:cs="Arial"/>
          <w:color w:val="000000"/>
          <w:sz w:val="22"/>
          <w:szCs w:val="22"/>
          <w:u w:val="single"/>
        </w:rPr>
        <w:t>t</w:t>
      </w:r>
      <w:r w:rsidRPr="2030048C">
        <w:rPr>
          <w:rFonts w:ascii="Arial" w:eastAsia="Arial" w:hAnsi="Arial" w:cs="Arial"/>
          <w:color w:val="000000"/>
          <w:sz w:val="22"/>
          <w:szCs w:val="22"/>
          <w:u w:val="single"/>
        </w:rPr>
        <w:t>e</w:t>
      </w:r>
      <w:r w:rsidRPr="2030048C">
        <w:rPr>
          <w:rFonts w:ascii="Arial" w:eastAsia="Arial" w:hAnsi="Arial" w:cs="Arial"/>
          <w:color w:val="000000"/>
          <w:sz w:val="22"/>
          <w:szCs w:val="22"/>
          <w:u w:val="single"/>
        </w:rPr>
        <w:t>:</w:t>
      </w:r>
    </w:p>
    <w:p w:rsidRPr="2030048C" w:rsidP="2030048C">
      <w:pPr>
        <w:ind w:left="720" w:right="-15"/>
        <w:jc w:val="left"/>
        <w:rPr>
          <w:rFonts w:ascii="Arial" w:eastAsia="Arial" w:hAnsi="Arial" w:cs="Arial"/>
          <w:sz w:val="24"/>
          <w:szCs w:val="24"/>
        </w:rPr>
      </w:pPr>
      <w:hyperlink r:id="rId13" w:history="1">
        <w:r w:rsidRPr="2030048C">
          <w:rPr>
            <w:rFonts w:ascii="Arial" w:eastAsia="Arial" w:hAnsi="Arial" w:cs="Arial"/>
            <w:sz w:val="22"/>
            <w:szCs w:val="22"/>
          </w:rPr>
          <w:t>https://www.kingston.ac.uk/faculties/science-engineering-and-computing/about/schools/engineering/</w:t>
        </w:r>
      </w:hyperlink>
    </w:p>
    <w:p w:rsidRPr="2030048C" w:rsidP="2030048C">
      <w:pPr>
        <w:ind w:left="720" w:right="-15"/>
        <w:jc w:val="left"/>
        <w:rPr>
          <w:rFonts w:ascii="Arial" w:eastAsia="Arial" w:hAnsi="Arial" w:cs="Arial"/>
          <w:sz w:val="24"/>
          <w:szCs w:val="24"/>
        </w:rPr>
      </w:pPr>
      <w:r w:rsidRPr="2030048C">
        <w:rPr>
          <w:rFonts w:ascii="Arial" w:eastAsia="Arial" w:hAnsi="Arial" w:cs="Arial"/>
          <w:sz w:val="24"/>
          <w:szCs w:val="24"/>
        </w:rPr>
        <w:t> </w:t>
      </w:r>
    </w:p>
    <w:p w:rsidRPr="2030048C" w:rsidP="2030048C">
      <w:pPr>
        <w:ind w:left="720"/>
        <w:jc w:val="left"/>
        <w:rPr>
          <w:rFonts w:ascii="Arial" w:eastAsia="Arial" w:hAnsi="Arial" w:cs="Arial"/>
          <w:sz w:val="24"/>
          <w:szCs w:val="24"/>
        </w:rPr>
      </w:pPr>
      <w:r w:rsidRPr="2030048C">
        <w:rPr>
          <w:rFonts w:ascii="Arial" w:eastAsia="Arial" w:hAnsi="Arial" w:cs="Arial"/>
          <w:sz w:val="20"/>
          <w:szCs w:val="20"/>
        </w:rPr>
        <w:t xml:space="preserve">ECET Website: </w:t>
      </w:r>
      <w:hyperlink r:id="rId14" w:history="1">
        <w:r w:rsidRPr="2030048C">
          <w:rPr>
            <w:rFonts w:ascii="Arial" w:eastAsia="Arial" w:hAnsi="Arial" w:cs="Arial"/>
            <w:sz w:val="20"/>
            <w:szCs w:val="20"/>
          </w:rPr>
          <w:t>www.esoft.lk/engineering</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29"/>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EE6015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EE6012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MsoBodyText3">
    <w:name w:val="MsoBodyText3"/>
    <w:basedOn w:val="Normal"/>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ston.ac.uk/faculties/science-engineering-and-computing/about/schools/engineerin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quality-code/qualifications-frameworks.pdf"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engineering.pdf?sfvrsn=1f2c881_4"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www.esoft.lk/engineering"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D026E65-C217-4C5B-BE66-31C2D999515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