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BEng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Electrical and Electronic Engineering</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01/02/2023</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26/02/2026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01/09/2026</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28</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Engineering, Computing and the Environment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Engineering</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Electrical, Electronic and Robotic Engineering</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BEng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Electrical and Electronic Engineering</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in Electrical and Electronic Engineering</w:t>
            </w:r>
          </w:p>
          <w:p w:rsidR="72431AC7" w:rsidP="2030048C" w14:paraId="3E314738" w14:textId="6100E87F">
            <w:pPr>
              <w:rPr>
                <w:rFonts w:ascii="Arial" w:eastAsia="Arial" w:hAnsi="Arial" w:cs="Arial"/>
                <w:b w:val="0"/>
                <w:bCs w:val="0"/>
                <w:sz w:val="24"/>
                <w:szCs w:val="24"/>
                <w:lang w:val="en-GB"/>
              </w:rPr>
            </w:pP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DipHE in Electrical and Electronic Engineering</w:t>
            </w:r>
            <w:r>
              <w:br/>
            </w:r>
            <w:r w:rsidRPr="2030048C" w:rsidR="71C545CA">
              <w:rPr>
                <w:rFonts w:ascii="Arial" w:eastAsia="Arial" w:hAnsi="Arial" w:cs="Arial"/>
                <w:b w:val="0"/>
                <w:bCs w:val="0"/>
                <w:sz w:val="24"/>
                <w:szCs w:val="24"/>
                <w:lang w:val="en-GB"/>
              </w:rPr>
              <w:t>BEng Electrical and Electronic Engineering</w:t>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UFEEE1EEE20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H600</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BEng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Electrical and Electronic Engineering with Foundation Year</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Electrical and Electronic Engineering with Foundation Year</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BEng Electrical and Electronic Engineering with Foundation Year</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DipHE Electrical and Electronic Engineering with Foundation Year</w:t>
            </w: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UFEE1EEE55</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C"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BEng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Electrical and Electronic Engineering with Professional Placement</w:t>
            </w:r>
          </w:p>
          <w:p w:rsidR="72431AC7" w:rsidP="540725A5" w14:textId="77777777">
            <w:pPr>
              <w:rPr>
                <w:rFonts w:ascii="Arial" w:eastAsia="Arial" w:hAnsi="Arial" w:cs="Arial"/>
                <w:b w:val="0"/>
                <w:bCs w:val="0"/>
                <w:sz w:val="24"/>
                <w:szCs w:val="24"/>
              </w:rPr>
            </w:pPr>
          </w:p>
        </w:tc>
      </w:tr>
      <w:tr w14:paraId="34BB979D"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Electrical and Electronic Engineering with Professional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BEng Electrical and Electronic Engineering with Professional Placement</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DipHE Electrical and Electronic Engineering with Professional Placement</w:t>
            </w:r>
            <w:r>
              <w:br/>
            </w:r>
          </w:p>
        </w:tc>
      </w:tr>
      <w:tr w14:paraId="2A120394"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USEEE1EEE45</w:t>
            </w:r>
          </w:p>
        </w:tc>
      </w:tr>
      <w:tr w14:paraId="78C565EA"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Roehampton Vale</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7</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8</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Not accredited yet</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None</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 </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general aim of the Electrical and Electronic Engineering course is to equip students with the theoretical and practical knowledge necessary to design, analyse, and implement complex electrical and electronic systems.</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More specific aims of the course are to:</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equip students with a multidisciplinary skill set and knowledge base by offering common engineering modules throughout the programme that span across various disciplines.</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develop students’ analytical and problem-solving skills, as well as their ability to evaluate evidence and assumptions to reach sound judgements, and to effectively communicate their ideas.</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furnish students with the leadership skills and know-how needed to generate new knowledge through research and development, as required for chartered engineers.</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equip students with the research and employability skills required for postgraduate study and work in electrical and electronic engineering and related industries.</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provide graduates with knowledge of key aspects of electrical and electronic engineering, as well as the creativity and technical skills to solve design problems.</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foster graduates’ understanding of sustainability and health and safety within their discipline, and the reflective skills to continually develop themselves professionally.</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ensure that graduates have the ability and confidence to take on leadership roles in major engineering projects.</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a comprehensive knowledge of mathematics, science and engineering to design, analyse and optimise electrical and electronic systems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complex electrical and electronic engineering problems to reach substantiated conclusions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practical laboratory and workshop skills to investigate and test electrical and electronic engineering systems and components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Examine the behaviour of circuits and systems, including power, control and communication systems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Select and apply appropriate analytical techniques to model electrical and electronic engineering systems and processes, discussing the limitations of the techniques employed</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Select and apply appropriate equipment, engineering technologies and processes for manufacturing and assembling electrical and electronic engineering components and systems, recognising their limitations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knowledge of devices and technologies used in electrical and electronic engineering, and their limitations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Select and critically evaluate technical literature and other sources of information to solve electrical and electronic engineering problems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Design and conduct experiments to validate and optimise electrical and electronic engineering systems and components, interpreting and presenting data in a clear and concise manner</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Select and apply appropriate computational techniques to model complex problems, recognising the limitations of the techniques employed.</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Design electrical and electronic engineering systems that meet desired specifications and constraints, while considering factors such as safety, reliability and cost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Apply knowledge of engineering management principles, commercial context, project and change management and relevant legal matters including intellectual property rights.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Evaluate the environmental impact of electrical and electronic systems and design solutions that minimise adverse impacts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and analyse ethical concerns and make reasoned ethical choices informed by professional codes of conduct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Function effectively as an individual, and as a member or leader of a team, evaluating the effectiveness of own and team performance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A6</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Develop a critical awareness of new developments in the field of electrical and electronic engineering and their potential impact on industry and society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B6</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a risk management process to identify, evaluate and mitigate risks associated with electrical and electronic engineering projects or activities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C6</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Communicate effectively on electrical and electronic engineering matters with technical and non-technical audiences, evaluating the effectiveness of the methods used</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1"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A7</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relevant theoretical principles and discipline-specific knowledge to practical tasks and projects within an industrial setting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B7</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Adopt an inclusive approach to engineering practice and recognise the responsibilities, benefits and importance of supporting equality, diversity, and inclusion.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C7</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Adopt a holistic and proportionate approach to the mitigation of security risks associated with electrical and electronic engineering projects and activities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2"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B8</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reflect on experiences gained during the placement to identify opportunities for further development of skills and engineering competencies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C8</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Maintain professional conduct by adhering to organisational policies and procedures and effectively collaborating within a team within an industrial setting</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undergraduate electrical and electronic engineering programme at Kingston University is structured around four main themes designed to provide students with a comprehensive understanding of electrical and electronic engineering principles and practices. The first theme focuses on developing a solid foundation in core engineering concepts such as circuit analysis, digital electronics, signals and systems, and electromagnetics, which are essential for solving complex engineering problems. The second theme broadens students’ knowledge base by introducing them to advanced topics such as control systems, communication systems and power systems. The third theme is dedicated to introducing students to the professional practice of electrical and electronic engineering, covering project management, quality assurance and business management. Finally, the programme incorporates a strong design theme woven throughout all the other themes. This theme emphasises the importance of a systems approach to engineering design and the development of practical skills such as communication, teamwork, problem-solving and design thinking.</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To complete their degree, students are typically required to complete 120 credits at each level. During their first year (also known as Level 4), students will take a set of four 30-credit modules. Full details of each module will be provided in individual Module Descriptors and student Module Guides.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Students can progress from one level to the next with 30 credits trailing but they must pass the failed credits before progressing to the next level. This includes progressing to the placement.</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Future Skills requirements are embedded as follows: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Navigate is embedded into Navigate with Microcontroller Project</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Explore is embedded into Exploring Electronic Engineering Project Management</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Future Skills Apply module is delivered at Level 6.</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BEng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Electrical and Electronic Engineering</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BEng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Electrical and Electronic Engineering</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Electrical Engineering Principles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ER4013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Electronic Circuits and Systems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ER4001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Engineering Mathematics and Programming</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EG4009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Navigate with Microcontroller Projects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ER4009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course at this point who have successfully completed 120 credits at level 4 or above are eligible for the award of Certificate of Higher Education.</w:t>
      </w:r>
      <w:r w:rsidRPr="2030048C">
        <w:rPr>
          <w:rStyle w:val="normaltextrun"/>
          <w:rFonts w:ascii="Arial" w:eastAsia="Arial" w:hAnsi="Arial" w:cs="Arial"/>
          <w:color w:val="000000" w:themeColor="text1" w:themeShade="FF" w:themeTint="FF"/>
          <w:sz w:val="24"/>
          <w:szCs w:val="24"/>
        </w:rPr>
        <w:t xml:space="preserve"> </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BEng (Hons)</w:t>
            </w:r>
            <w:r w:rsidRPr="2030048C">
              <w:rPr>
                <w:rFonts w:ascii="Arial" w:eastAsia="Arial" w:hAnsi="Arial" w:cs="Arial"/>
                <w:b/>
                <w:bCs/>
                <w:lang w:val="en-GB"/>
              </w:rPr>
              <w:t xml:space="preserve"> </w:t>
            </w:r>
            <w:r w:rsidRPr="2030048C">
              <w:rPr>
                <w:rFonts w:ascii="Arial" w:eastAsia="Arial" w:hAnsi="Arial" w:cs="Arial"/>
                <w:b/>
                <w:bCs/>
                <w:lang w:val="en-GB"/>
              </w:rPr>
              <w:t>Electrical and Electronic Engineering</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Advanced Mathematics and Control Theory</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ER5010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Computer-Aided Electronic Design</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ER5005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Electrical Systems and Artificial Intelligence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ER5011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Exploring Electronic Engineering Project Management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ER5012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5 or above are eligible for the award of Diploma of Higher Education.</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BEng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Electrical and Electronic Engineering</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BEng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ER6010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Communication Systems and Digital Signal Processing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ER6007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Power Systems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ER6013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Sustainable Engineering and Robotics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ER6011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without completing the full 120 credits but have successfully completed 60 credits at level 6 or above are eligible for the award of an Ordinary Degree.</w:t>
      </w: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BEng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Electrical and Electronic Engineering with Foundation Year</w:t>
      </w:r>
    </w:p>
    <w:p w:rsidR="008B5CAF" w:rsidRPr="008B5CAF" w:rsidP="008B5CAF" w14:textId="77777777">
      <w:pPr>
        <w:rPr>
          <w:rFonts w:eastAsia="Arial"/>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BEng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Electrical and Electronic Engineering with Professional Placement</w:t>
      </w:r>
    </w:p>
    <w:p w:rsidR="008B5CAF" w:rsidRPr="008B5CAF" w:rsidP="008B5CAF" w14:textId="77777777">
      <w:pPr>
        <w:rPr>
          <w:rFonts w:eastAsia="Arial"/>
        </w:rPr>
      </w:pPr>
    </w:p>
    <w:p w:rsidR="035B6837" w:rsidP="2030048C"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B"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30F3F3B7">
            <w:pPr>
              <w:rPr>
                <w:rFonts w:ascii="Arial" w:eastAsia="Arial" w:hAnsi="Arial" w:cs="Arial"/>
              </w:rPr>
            </w:pPr>
            <w:r w:rsidRPr="66934EB1">
              <w:rPr>
                <w:rFonts w:ascii="Arial" w:eastAsia="Arial" w:hAnsi="Arial" w:cs="Arial"/>
                <w:b/>
                <w:bCs/>
              </w:rPr>
              <w:t>Level 5</w:t>
            </w:r>
          </w:p>
        </w:tc>
      </w:tr>
      <w:tr w14:paraId="1514BE76"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73F14FE4">
            <w:pPr>
              <w:rPr>
                <w:rFonts w:ascii="Arial" w:eastAsia="Arial" w:hAnsi="Arial" w:cs="Arial"/>
                <w:lang w:val="en-GB"/>
              </w:rPr>
            </w:pPr>
            <w:r w:rsidRPr="2030048C">
              <w:rPr>
                <w:rFonts w:ascii="Arial" w:eastAsia="Arial" w:hAnsi="Arial" w:cs="Arial"/>
                <w:b/>
                <w:bCs/>
                <w:lang w:val="en-GB"/>
              </w:rPr>
              <w:t>BEng (Hons)</w:t>
            </w:r>
            <w:r w:rsidRPr="2030048C">
              <w:rPr>
                <w:rFonts w:ascii="Arial" w:eastAsia="Arial" w:hAnsi="Arial" w:cs="Arial"/>
                <w:b/>
                <w:bCs/>
                <w:lang w:val="en-GB"/>
              </w:rPr>
              <w:t xml:space="preserve"> </w:t>
            </w:r>
            <w:r w:rsidRPr="2030048C">
              <w:rPr>
                <w:rFonts w:ascii="Arial" w:eastAsia="Arial" w:hAnsi="Arial" w:cs="Arial"/>
                <w:b/>
                <w:bCs/>
                <w:lang w:val="en-GB"/>
              </w:rPr>
              <w:t>Electrical and Electronic Engineering with Professional Placement</w:t>
            </w:r>
          </w:p>
        </w:tc>
      </w:tr>
      <w:tr w14:paraId="6F03CED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8"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Industrial Placement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ME5023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ACYR</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textId="7597772D">
      <w:pPr>
        <w:rPr>
          <w:rFonts w:ascii="Arial" w:eastAsia="Arial" w:hAnsi="Arial" w:cs="Arial"/>
          <w:color w:val="0070C0"/>
          <w:sz w:val="24"/>
          <w:szCs w:val="24"/>
        </w:rPr>
      </w:pPr>
    </w:p>
    <w:p w:rsidR="3891A81D" w:rsidRPr="2030048C" w:rsidP="2030048C"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at this point who have successfully completed 120 credits at level 5 or above are eligible for the award of Diploma of Higher Education. </w:t>
      </w:r>
    </w:p>
    <w:p w:rsidR="66934EB1" w:rsidP="2030048C" w14:textId="5C84D198">
      <w:pPr>
        <w:rPr>
          <w:rFonts w:ascii="Arial" w:eastAsia="Arial" w:hAnsi="Arial" w:cs="Arial"/>
          <w:color w:val="000000" w:themeColor="text1" w:themeShade="FF" w:themeTint="FF"/>
          <w:sz w:val="24"/>
          <w:szCs w:val="24"/>
          <w:lang w:val="en-GB"/>
        </w:rPr>
      </w:pPr>
    </w:p>
    <w:p w:rsidR="66934EB1" w:rsidP="540725A5" w14:textId="65ECFB32">
      <w:pPr>
        <w:rPr>
          <w:rFonts w:ascii="Arial" w:eastAsia="Arial" w:hAnsi="Arial" w:cs="Arial"/>
          <w:color w:val="FF0000"/>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(including Learning Design Principles and Inclusive Curriculum); and Future Skills.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rPr>
          <w:rFonts w:ascii="Arial" w:eastAsia="Arial" w:hAnsi="Arial" w:cs="Arial"/>
          <w:sz w:val="24"/>
          <w:szCs w:val="24"/>
        </w:rPr>
      </w:pPr>
      <w:r w:rsidRPr="2030048C">
        <w:rPr>
          <w:rFonts w:ascii="Arial" w:eastAsia="Arial" w:hAnsi="Arial" w:cs="Arial"/>
          <w:sz w:val="24"/>
          <w:szCs w:val="24"/>
        </w:rPr>
        <w:t>· Laboratory Sessions</w:t>
      </w:r>
    </w:p>
    <w:p w:rsidRPr="2030048C" w:rsidP="2030048C">
      <w:pPr>
        <w:rPr>
          <w:rFonts w:ascii="Arial" w:eastAsia="Arial" w:hAnsi="Arial" w:cs="Arial"/>
          <w:sz w:val="24"/>
          <w:szCs w:val="24"/>
        </w:rPr>
      </w:pPr>
      <w:r w:rsidRPr="2030048C">
        <w:rPr>
          <w:rFonts w:ascii="Arial" w:eastAsia="Arial" w:hAnsi="Arial" w:cs="Arial"/>
          <w:sz w:val="24"/>
          <w:szCs w:val="24"/>
        </w:rPr>
        <w:t>· Lectures</w:t>
      </w:r>
    </w:p>
    <w:p w:rsidRPr="2030048C" w:rsidP="2030048C">
      <w:pPr>
        <w:rPr>
          <w:rFonts w:ascii="Arial" w:eastAsia="Arial" w:hAnsi="Arial" w:cs="Arial"/>
          <w:sz w:val="24"/>
          <w:szCs w:val="24"/>
        </w:rPr>
      </w:pPr>
      <w:r w:rsidRPr="2030048C">
        <w:rPr>
          <w:rFonts w:ascii="Arial" w:eastAsia="Arial" w:hAnsi="Arial" w:cs="Arial"/>
          <w:sz w:val="24"/>
          <w:szCs w:val="24"/>
        </w:rPr>
        <w:t>· Seminars</w:t>
      </w:r>
    </w:p>
    <w:p w:rsidRPr="2030048C" w:rsidP="2030048C">
      <w:pPr>
        <w:rPr>
          <w:rFonts w:ascii="Arial" w:eastAsia="Arial" w:hAnsi="Arial" w:cs="Arial"/>
          <w:sz w:val="24"/>
          <w:szCs w:val="24"/>
        </w:rPr>
      </w:pPr>
      <w:r w:rsidRPr="2030048C">
        <w:rPr>
          <w:rFonts w:ascii="Arial" w:eastAsia="Arial" w:hAnsi="Arial" w:cs="Arial"/>
          <w:sz w:val="24"/>
          <w:szCs w:val="24"/>
        </w:rPr>
        <w:t>· Tutorials</w:t>
      </w:r>
    </w:p>
    <w:p w:rsidRPr="2030048C" w:rsidP="2030048C">
      <w:pPr>
        <w:rPr>
          <w:rFonts w:ascii="Arial" w:eastAsia="Arial" w:hAnsi="Arial" w:cs="Arial"/>
          <w:sz w:val="24"/>
          <w:szCs w:val="24"/>
        </w:rPr>
      </w:pPr>
      <w:r w:rsidRPr="2030048C">
        <w:rPr>
          <w:rFonts w:ascii="Arial" w:eastAsia="Arial" w:hAnsi="Arial" w:cs="Arial"/>
          <w:sz w:val="24"/>
          <w:szCs w:val="24"/>
        </w:rPr>
        <w:t>· Workshops</w:t>
      </w:r>
    </w:p>
    <w:p w:rsidRPr="2030048C" w:rsidP="2030048C">
      <w:pPr>
        <w:rPr>
          <w:rFonts w:ascii="Arial" w:eastAsia="Arial" w:hAnsi="Arial" w:cs="Arial"/>
          <w:sz w:val="24"/>
          <w:szCs w:val="24"/>
        </w:rPr>
      </w:pPr>
      <w:r w:rsidRPr="2030048C">
        <w:rPr>
          <w:rFonts w:ascii="Arial" w:eastAsia="Arial" w:hAnsi="Arial" w:cs="Arial"/>
          <w:sz w:val="24"/>
          <w:szCs w:val="24"/>
        </w:rPr>
        <w:t>· 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rPr>
          <w:rFonts w:ascii="Arial" w:eastAsia="Arial" w:hAnsi="Arial" w:cs="Arial"/>
          <w:sz w:val="24"/>
          <w:szCs w:val="24"/>
        </w:rPr>
      </w:pPr>
      <w:r w:rsidRPr="2030048C">
        <w:rPr>
          <w:rFonts w:ascii="Arial" w:eastAsia="Arial" w:hAnsi="Arial" w:cs="Arial"/>
          <w:sz w:val="24"/>
          <w:szCs w:val="24"/>
        </w:rPr>
        <w:t>· A Module Leader for each module</w:t>
      </w:r>
    </w:p>
    <w:p w:rsidRPr="2030048C" w:rsidP="2030048C">
      <w:pPr>
        <w:rPr>
          <w:rFonts w:ascii="Arial" w:eastAsia="Arial" w:hAnsi="Arial" w:cs="Arial"/>
          <w:sz w:val="24"/>
          <w:szCs w:val="24"/>
        </w:rPr>
      </w:pPr>
      <w:r w:rsidRPr="2030048C">
        <w:rPr>
          <w:rFonts w:ascii="Arial" w:eastAsia="Arial" w:hAnsi="Arial" w:cs="Arial"/>
          <w:sz w:val="24"/>
          <w:szCs w:val="24"/>
        </w:rPr>
        <w:t>· A Course Leader to help students understand the course structure</w:t>
      </w:r>
    </w:p>
    <w:p w:rsidRPr="2030048C" w:rsidP="2030048C">
      <w:pPr>
        <w:rPr>
          <w:rFonts w:ascii="Arial" w:eastAsia="Arial" w:hAnsi="Arial" w:cs="Arial"/>
          <w:sz w:val="24"/>
          <w:szCs w:val="24"/>
        </w:rPr>
      </w:pPr>
      <w:r w:rsidRPr="2030048C">
        <w:rPr>
          <w:rFonts w:ascii="Arial" w:eastAsia="Arial" w:hAnsi="Arial" w:cs="Arial"/>
          <w:sz w:val="24"/>
          <w:szCs w:val="24"/>
        </w:rPr>
        <w:t>· Personal Tutors to provide academic and personal support</w:t>
      </w:r>
    </w:p>
    <w:p w:rsidRPr="2030048C" w:rsidP="2030048C">
      <w:pPr>
        <w:rPr>
          <w:rFonts w:ascii="Arial" w:eastAsia="Arial" w:hAnsi="Arial" w:cs="Arial"/>
          <w:sz w:val="24"/>
          <w:szCs w:val="24"/>
        </w:rPr>
      </w:pPr>
      <w:r w:rsidRPr="2030048C">
        <w:rPr>
          <w:rFonts w:ascii="Arial" w:eastAsia="Arial" w:hAnsi="Arial" w:cs="Arial"/>
          <w:sz w:val="24"/>
          <w:szCs w:val="24"/>
        </w:rPr>
        <w:t>· Technical support to advise students on IT and the use of software</w:t>
      </w:r>
    </w:p>
    <w:p w:rsidRPr="2030048C" w:rsidP="2030048C">
      <w:pPr>
        <w:rPr>
          <w:rFonts w:ascii="Arial" w:eastAsia="Arial" w:hAnsi="Arial" w:cs="Arial"/>
          <w:sz w:val="24"/>
          <w:szCs w:val="24"/>
        </w:rPr>
      </w:pPr>
      <w:r w:rsidRPr="2030048C">
        <w:rPr>
          <w:rFonts w:ascii="Arial" w:eastAsia="Arial" w:hAnsi="Arial" w:cs="Arial"/>
          <w:sz w:val="24"/>
          <w:szCs w:val="24"/>
        </w:rPr>
        <w:t>· Student Voice Committee – to ensure the views of students are heard</w:t>
      </w:r>
    </w:p>
    <w:p w:rsidRPr="2030048C" w:rsidP="2030048C">
      <w:pPr>
        <w:rPr>
          <w:rFonts w:ascii="Arial" w:eastAsia="Arial" w:hAnsi="Arial" w:cs="Arial"/>
          <w:sz w:val="24"/>
          <w:szCs w:val="24"/>
        </w:rPr>
      </w:pPr>
      <w:r w:rsidRPr="2030048C">
        <w:rPr>
          <w:rFonts w:ascii="Arial" w:eastAsia="Arial" w:hAnsi="Arial" w:cs="Arial"/>
          <w:sz w:val="24"/>
          <w:szCs w:val="24"/>
        </w:rPr>
        <w:t>· Canvas – Kingston University’s Virtual Learning Environment</w:t>
      </w:r>
    </w:p>
    <w:p w:rsidRPr="2030048C" w:rsidP="2030048C">
      <w:pPr>
        <w:rPr>
          <w:rFonts w:ascii="Arial" w:eastAsia="Arial" w:hAnsi="Arial" w:cs="Arial"/>
          <w:sz w:val="24"/>
          <w:szCs w:val="24"/>
        </w:rPr>
      </w:pPr>
      <w:r w:rsidRPr="2030048C">
        <w:rPr>
          <w:rFonts w:ascii="Arial" w:eastAsia="Arial" w:hAnsi="Arial" w:cs="Arial"/>
          <w:sz w:val="24"/>
          <w:szCs w:val="24"/>
        </w:rPr>
        <w:t>· Student support facilities that can provide advice on issues such as finance, regulations, legal matters, accommodation, international student support</w:t>
      </w:r>
    </w:p>
    <w:p w:rsidRPr="2030048C" w:rsidP="2030048C">
      <w:pPr>
        <w:rPr>
          <w:rFonts w:ascii="Arial" w:eastAsia="Arial" w:hAnsi="Arial" w:cs="Arial"/>
          <w:sz w:val="24"/>
          <w:szCs w:val="24"/>
        </w:rPr>
      </w:pPr>
      <w:r w:rsidRPr="2030048C">
        <w:rPr>
          <w:rFonts w:ascii="Arial" w:eastAsia="Arial" w:hAnsi="Arial" w:cs="Arial"/>
          <w:sz w:val="24"/>
          <w:szCs w:val="24"/>
        </w:rPr>
        <w:t>· Disabled student support</w:t>
      </w:r>
    </w:p>
    <w:p w:rsidRPr="2030048C" w:rsidP="2030048C">
      <w:pPr>
        <w:rPr>
          <w:rFonts w:ascii="Arial" w:eastAsia="Arial" w:hAnsi="Arial" w:cs="Arial"/>
          <w:sz w:val="24"/>
          <w:szCs w:val="24"/>
        </w:rPr>
      </w:pPr>
      <w:r w:rsidRPr="2030048C">
        <w:rPr>
          <w:rFonts w:ascii="Arial" w:eastAsia="Arial" w:hAnsi="Arial" w:cs="Arial"/>
          <w:sz w:val="24"/>
          <w:szCs w:val="24"/>
        </w:rPr>
        <w:t>· The Kingston Students’ Union</w:t>
      </w:r>
    </w:p>
    <w:p w:rsidRPr="2030048C" w:rsidP="2030048C">
      <w:pPr>
        <w:rPr>
          <w:rFonts w:ascii="Arial" w:eastAsia="Arial" w:hAnsi="Arial" w:cs="Arial"/>
          <w:sz w:val="24"/>
          <w:szCs w:val="24"/>
        </w:rPr>
      </w:pPr>
      <w:r w:rsidRPr="2030048C">
        <w:rPr>
          <w:rFonts w:ascii="Arial" w:eastAsia="Arial" w:hAnsi="Arial" w:cs="Arial"/>
          <w:sz w:val="24"/>
          <w:szCs w:val="24"/>
        </w:rPr>
        <w:t>· Student Development and Graduate Success</w:t>
      </w:r>
    </w:p>
    <w:p w:rsidRPr="2030048C" w:rsidP="2030048C">
      <w:pPr>
        <w:rPr>
          <w:rFonts w:ascii="Arial" w:eastAsia="Arial" w:hAnsi="Arial" w:cs="Arial"/>
          <w:sz w:val="24"/>
          <w:szCs w:val="24"/>
        </w:rPr>
      </w:pPr>
      <w:r w:rsidRPr="2030048C">
        <w:rPr>
          <w:rFonts w:ascii="Arial" w:eastAsia="Arial" w:hAnsi="Arial" w:cs="Arial"/>
          <w:sz w:val="24"/>
          <w:szCs w:val="24"/>
        </w:rPr>
        <w:t>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several methods for evaluating and improving the quality and standards of its provision. These include:</w:t>
      </w:r>
    </w:p>
    <w:p w:rsidR="3D0EBCB8" w:rsidRPr="2030048C" w:rsidP="2030048C">
      <w:pPr>
        <w:numPr>
          <w:ilvl w:val="0"/>
          <w:numId w:val="13"/>
        </w:numPr>
        <w:ind w:left="720" w:hanging="360"/>
        <w:jc w:val="left"/>
        <w:rPr>
          <w:rFonts w:ascii="Arial" w:eastAsia="Arial" w:hAnsi="Arial" w:cs="Arial"/>
          <w:sz w:val="24"/>
          <w:szCs w:val="24"/>
        </w:rPr>
      </w:pPr>
      <w:r w:rsidRPr="2030048C">
        <w:rPr>
          <w:rFonts w:ascii="Arial" w:eastAsia="Arial" w:hAnsi="Arial" w:cs="Arial"/>
          <w:sz w:val="24"/>
          <w:szCs w:val="24"/>
        </w:rPr>
        <w:t>External examiners</w:t>
      </w:r>
    </w:p>
    <w:p w:rsidR="3D0EBCB8" w:rsidRPr="2030048C" w:rsidP="2030048C">
      <w:pPr>
        <w:numPr>
          <w:ilvl w:val="0"/>
          <w:numId w:val="13"/>
        </w:numPr>
        <w:ind w:left="720" w:hanging="360"/>
        <w:jc w:val="left"/>
        <w:rPr>
          <w:rFonts w:ascii="Arial" w:eastAsia="Arial" w:hAnsi="Arial" w:cs="Arial"/>
          <w:sz w:val="24"/>
          <w:szCs w:val="24"/>
        </w:rPr>
      </w:pPr>
      <w:r w:rsidRPr="2030048C">
        <w:rPr>
          <w:rFonts w:ascii="Arial" w:eastAsia="Arial" w:hAnsi="Arial" w:cs="Arial"/>
          <w:sz w:val="24"/>
          <w:szCs w:val="24"/>
        </w:rPr>
        <w:t>Education Committee with student representation</w:t>
      </w:r>
    </w:p>
    <w:p w:rsidR="3D0EBCB8" w:rsidRPr="2030048C" w:rsidP="2030048C">
      <w:pPr>
        <w:numPr>
          <w:ilvl w:val="0"/>
          <w:numId w:val="13"/>
        </w:numPr>
        <w:ind w:left="720" w:hanging="360"/>
        <w:jc w:val="left"/>
        <w:rPr>
          <w:rFonts w:ascii="Arial" w:eastAsia="Arial" w:hAnsi="Arial" w:cs="Arial"/>
          <w:sz w:val="24"/>
          <w:szCs w:val="24"/>
        </w:rPr>
      </w:pPr>
      <w:r w:rsidRPr="2030048C">
        <w:rPr>
          <w:rFonts w:ascii="Arial" w:eastAsia="Arial" w:hAnsi="Arial" w:cs="Arial"/>
          <w:sz w:val="24"/>
          <w:szCs w:val="24"/>
        </w:rPr>
        <w:t>Annual Monitoring and Enhancement</w:t>
      </w:r>
    </w:p>
    <w:p w:rsidR="3D0EBCB8" w:rsidRPr="2030048C" w:rsidP="2030048C">
      <w:pPr>
        <w:numPr>
          <w:ilvl w:val="0"/>
          <w:numId w:val="13"/>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3"/>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level surveys and the National Student Survey (NSS)</w:t>
      </w:r>
    </w:p>
    <w:p w:rsidR="3D0EBCB8" w:rsidRPr="2030048C" w:rsidP="2030048C">
      <w:pPr>
        <w:numPr>
          <w:ilvl w:val="0"/>
          <w:numId w:val="13"/>
        </w:numPr>
        <w:ind w:left="720" w:hanging="360"/>
        <w:jc w:val="left"/>
        <w:rPr>
          <w:rFonts w:ascii="Arial" w:eastAsia="Arial" w:hAnsi="Arial" w:cs="Arial"/>
          <w:sz w:val="24"/>
          <w:szCs w:val="24"/>
        </w:rPr>
      </w:pPr>
      <w:r w:rsidRPr="2030048C">
        <w:rPr>
          <w:rFonts w:ascii="Arial" w:eastAsia="Arial" w:hAnsi="Arial" w:cs="Arial"/>
          <w:sz w:val="24"/>
          <w:szCs w:val="24"/>
        </w:rPr>
        <w:t>Moderation policies</w:t>
      </w:r>
    </w:p>
    <w:p w:rsidR="3D0EBCB8" w:rsidRPr="2030048C" w:rsidP="2030048C">
      <w:pPr>
        <w:numPr>
          <w:ilvl w:val="0"/>
          <w:numId w:val="13"/>
        </w:numPr>
        <w:ind w:left="720" w:hanging="360"/>
        <w:jc w:val="left"/>
        <w:rPr>
          <w:rFonts w:ascii="Arial" w:eastAsia="Arial" w:hAnsi="Arial" w:cs="Arial"/>
          <w:sz w:val="24"/>
          <w:szCs w:val="24"/>
        </w:rPr>
      </w:pPr>
      <w:r w:rsidRPr="2030048C">
        <w:rPr>
          <w:rFonts w:ascii="Arial" w:eastAsia="Arial" w:hAnsi="Arial" w:cs="Arial"/>
          <w:sz w:val="24"/>
          <w:szCs w:val="24"/>
        </w:rPr>
        <w:t>Feedback from employers and alumni</w:t>
      </w:r>
    </w:p>
    <w:p w:rsidR="3D0EBCB8" w:rsidRPr="2030048C" w:rsidP="2030048C">
      <w:pPr>
        <w:numPr>
          <w:ilvl w:val="0"/>
          <w:numId w:val="13"/>
        </w:numPr>
        <w:ind w:left="720" w:hanging="360"/>
        <w:jc w:val="left"/>
        <w:rPr>
          <w:rFonts w:ascii="Arial" w:eastAsia="Arial" w:hAnsi="Arial" w:cs="Arial"/>
          <w:sz w:val="24"/>
          <w:szCs w:val="24"/>
        </w:rPr>
      </w:pPr>
      <w:r w:rsidRPr="2030048C">
        <w:rPr>
          <w:rFonts w:ascii="Arial" w:eastAsia="Arial" w:hAnsi="Arial" w:cs="Arial"/>
          <w:sz w:val="24"/>
          <w:szCs w:val="24"/>
        </w:rPr>
        <w:t xml:space="preserve">Industrial Consultative Committee </w:t>
      </w:r>
    </w:p>
    <w:p w:rsidR="3D0EBCB8" w:rsidRPr="2030048C" w:rsidP="2030048C">
      <w:pPr>
        <w:numPr>
          <w:ilvl w:val="0"/>
          <w:numId w:val="13"/>
        </w:numPr>
        <w:ind w:left="720" w:hanging="360"/>
        <w:jc w:val="left"/>
        <w:rPr>
          <w:rFonts w:ascii="Arial" w:eastAsia="Arial" w:hAnsi="Arial" w:cs="Arial"/>
          <w:sz w:val="24"/>
          <w:szCs w:val="24"/>
        </w:rPr>
      </w:pPr>
      <w:r w:rsidRPr="2030048C">
        <w:rPr>
          <w:rFonts w:ascii="Arial" w:eastAsia="Arial" w:hAnsi="Arial" w:cs="Arial"/>
          <w:sz w:val="24"/>
          <w:szCs w:val="24"/>
        </w:rPr>
        <w:t>Professional body requirements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Pr="2030048C" w:rsidP="2030048C">
      <w:pPr>
        <w:rPr>
          <w:rFonts w:ascii="Arial" w:eastAsia="Arial" w:hAnsi="Arial" w:cs="Arial"/>
          <w:sz w:val="24"/>
          <w:szCs w:val="24"/>
        </w:rPr>
      </w:pPr>
      <w:r w:rsidRPr="2030048C">
        <w:rPr>
          <w:rFonts w:ascii="Arial" w:eastAsia="Arial" w:hAnsi="Arial" w:cs="Arial"/>
          <w:sz w:val="24"/>
          <w:szCs w:val="24"/>
        </w:rPr>
        <w:t>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043"/>
        <w:gridCol w:w="218"/>
        <w:gridCol w:w="1"/>
        <w:gridCol w:w="559"/>
        <w:gridCol w:w="1"/>
        <w:gridCol w:w="551"/>
        <w:gridCol w:w="1"/>
        <w:gridCol w:w="551"/>
        <w:gridCol w:w="1"/>
        <w:gridCol w:w="551"/>
        <w:gridCol w:w="1"/>
        <w:gridCol w:w="567"/>
        <w:gridCol w:w="1"/>
        <w:gridCol w:w="551"/>
        <w:gridCol w:w="1"/>
        <w:gridCol w:w="551"/>
        <w:gridCol w:w="1"/>
        <w:gridCol w:w="551"/>
        <w:gridCol w:w="1"/>
        <w:gridCol w:w="550"/>
        <w:gridCol w:w="1"/>
        <w:gridCol w:w="1"/>
        <w:gridCol w:w="551"/>
        <w:gridCol w:w="1"/>
        <w:gridCol w:w="551"/>
        <w:gridCol w:w="1"/>
        <w:gridCol w:w="551"/>
        <w:gridCol w:w="1"/>
        <w:gridCol w:w="551"/>
        <w:gridCol w:w="1"/>
        <w:gridCol w:w="548"/>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8"/>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10"/>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11"/>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EG4009</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ER4001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ER4009</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ER4013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ME5023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ER5011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ER5010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ER5005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ER5012</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ER6010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ER6011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ER6013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ER6007</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A7</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B7</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B8</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C7</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C8</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i/>
          <w:iCs/>
          <w:color w:val="E74C3C"/>
          <w:sz w:val="24"/>
          <w:szCs w:val="24"/>
        </w:rPr>
        <w:t>Add information here about the number of approved entry points and for each one, except the first one, the delivery dates of the modules and which Teaching Block they’ll be delivered in. The details of the first entry point noted should be provided in the module tables above.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b/>
          <w:bCs/>
          <w:color w:val="E74C3C"/>
          <w:sz w:val="24"/>
          <w:szCs w:val="24"/>
        </w:rPr>
        <w:t>Standard Codes and Definitions for Teaching Blocks</w:t>
      </w:r>
      <w:r w:rsidRPr="2030048C">
        <w:rPr>
          <w:rFonts w:ascii="Arial" w:eastAsia="Arial" w:hAnsi="Arial" w:cs="Arial"/>
          <w:color w:val="E74C3C"/>
          <w:sz w:val="24"/>
          <w:szCs w:val="24"/>
        </w:rPr>
        <w:br/>
      </w:r>
      <w:r w:rsidRPr="2030048C">
        <w:rPr>
          <w:rFonts w:ascii="Arial" w:eastAsia="Arial" w:hAnsi="Arial" w:cs="Arial"/>
          <w:color w:val="E74C3C"/>
          <w:sz w:val="24"/>
          <w:szCs w:val="24"/>
        </w:rPr>
        <w:t>•    TY13</w:t>
      </w:r>
      <w:r w:rsidRPr="2030048C">
        <w:rPr>
          <w:rFonts w:ascii="Arial" w:eastAsia="Arial" w:hAnsi="Arial" w:cs="Arial"/>
          <w:color w:val="E74C3C"/>
          <w:sz w:val="24"/>
          <w:szCs w:val="24"/>
        </w:rPr>
        <w:br/>
      </w:r>
      <w:r w:rsidRPr="2030048C">
        <w:rPr>
          <w:rFonts w:ascii="Arial" w:eastAsia="Arial" w:hAnsi="Arial" w:cs="Arial"/>
          <w:color w:val="E74C3C"/>
          <w:sz w:val="24"/>
          <w:szCs w:val="24"/>
        </w:rPr>
        <w:t>Module taught across Autumn and Spring terms.</w:t>
      </w:r>
      <w:r w:rsidRPr="2030048C">
        <w:rPr>
          <w:rFonts w:ascii="Arial" w:eastAsia="Arial" w:hAnsi="Arial" w:cs="Arial"/>
          <w:color w:val="E74C3C"/>
          <w:sz w:val="24"/>
          <w:szCs w:val="24"/>
        </w:rPr>
        <w:br/>
      </w:r>
      <w:r w:rsidRPr="2030048C">
        <w:rPr>
          <w:rFonts w:ascii="Arial" w:eastAsia="Arial" w:hAnsi="Arial" w:cs="Arial"/>
          <w:color w:val="E74C3C"/>
          <w:sz w:val="24"/>
          <w:szCs w:val="24"/>
        </w:rPr>
        <w:t>Example: 29 Sept 2025 – 24 Apr 2026.</w:t>
      </w:r>
    </w:p>
    <w:p w:rsidRPr="2030048C" w:rsidP="2030048C">
      <w:pPr>
        <w:rPr>
          <w:rFonts w:ascii="Arial" w:eastAsia="Arial" w:hAnsi="Arial" w:cs="Arial"/>
          <w:sz w:val="24"/>
          <w:szCs w:val="24"/>
        </w:rPr>
      </w:pPr>
      <w:r w:rsidRPr="2030048C">
        <w:rPr>
          <w:rFonts w:ascii="Arial" w:eastAsia="Arial" w:hAnsi="Arial" w:cs="Arial"/>
          <w:sz w:val="24"/>
          <w:szCs w:val="24"/>
        </w:rPr>
        <w:br/>
      </w:r>
      <w:r w:rsidRPr="2030048C">
        <w:rPr>
          <w:rFonts w:ascii="Arial" w:eastAsia="Arial" w:hAnsi="Arial" w:cs="Arial"/>
          <w:color w:val="E74C3C"/>
          <w:sz w:val="24"/>
          <w:szCs w:val="24"/>
        </w:rPr>
        <w:t>•    TB1</w:t>
      </w:r>
      <w:r w:rsidRPr="2030048C">
        <w:rPr>
          <w:rFonts w:ascii="Arial" w:eastAsia="Arial" w:hAnsi="Arial" w:cs="Arial"/>
          <w:color w:val="E74C3C"/>
          <w:sz w:val="24"/>
          <w:szCs w:val="24"/>
        </w:rPr>
        <w:br/>
      </w:r>
      <w:r w:rsidRPr="2030048C">
        <w:rPr>
          <w:rFonts w:ascii="Arial" w:eastAsia="Arial" w:hAnsi="Arial" w:cs="Arial"/>
          <w:color w:val="E74C3C"/>
          <w:sz w:val="24"/>
          <w:szCs w:val="24"/>
        </w:rPr>
        <w:t>Autumn term only.</w:t>
      </w:r>
      <w:r w:rsidRPr="2030048C">
        <w:rPr>
          <w:rFonts w:ascii="Arial" w:eastAsia="Arial" w:hAnsi="Arial" w:cs="Arial"/>
          <w:color w:val="E74C3C"/>
          <w:sz w:val="24"/>
          <w:szCs w:val="24"/>
        </w:rPr>
        <w:br/>
      </w:r>
      <w:r w:rsidRPr="2030048C">
        <w:rPr>
          <w:rFonts w:ascii="Arial" w:eastAsia="Arial" w:hAnsi="Arial" w:cs="Arial"/>
          <w:color w:val="E74C3C"/>
          <w:sz w:val="24"/>
          <w:szCs w:val="24"/>
        </w:rPr>
        <w:t>Example: 29 Sept 2025 – 19 Dec 2025.</w:t>
      </w:r>
    </w:p>
    <w:p w:rsidRPr="2030048C" w:rsidP="2030048C">
      <w:pPr>
        <w:rPr>
          <w:rFonts w:ascii="Arial" w:eastAsia="Arial" w:hAnsi="Arial" w:cs="Arial"/>
          <w:sz w:val="24"/>
          <w:szCs w:val="24"/>
        </w:rPr>
      </w:pPr>
      <w:r w:rsidRPr="2030048C">
        <w:rPr>
          <w:rFonts w:ascii="Arial" w:eastAsia="Arial" w:hAnsi="Arial" w:cs="Arial"/>
          <w:sz w:val="24"/>
          <w:szCs w:val="24"/>
        </w:rPr>
        <w:br/>
      </w:r>
      <w:r w:rsidRPr="2030048C">
        <w:rPr>
          <w:rFonts w:ascii="Arial" w:eastAsia="Arial" w:hAnsi="Arial" w:cs="Arial"/>
          <w:color w:val="E74C3C"/>
          <w:sz w:val="24"/>
          <w:szCs w:val="24"/>
        </w:rPr>
        <w:t>•    TB2</w:t>
      </w:r>
      <w:r w:rsidRPr="2030048C">
        <w:rPr>
          <w:rFonts w:ascii="Arial" w:eastAsia="Arial" w:hAnsi="Arial" w:cs="Arial"/>
          <w:color w:val="E74C3C"/>
          <w:sz w:val="24"/>
          <w:szCs w:val="24"/>
        </w:rPr>
        <w:br/>
      </w:r>
      <w:r w:rsidRPr="2030048C">
        <w:rPr>
          <w:rFonts w:ascii="Arial" w:eastAsia="Arial" w:hAnsi="Arial" w:cs="Arial"/>
          <w:color w:val="E74C3C"/>
          <w:sz w:val="24"/>
          <w:szCs w:val="24"/>
        </w:rPr>
        <w:t>Spring term only.</w:t>
      </w:r>
      <w:r w:rsidRPr="2030048C">
        <w:rPr>
          <w:rFonts w:ascii="Arial" w:eastAsia="Arial" w:hAnsi="Arial" w:cs="Arial"/>
          <w:color w:val="E74C3C"/>
          <w:sz w:val="24"/>
          <w:szCs w:val="24"/>
        </w:rPr>
        <w:br/>
      </w:r>
      <w:r w:rsidRPr="2030048C">
        <w:rPr>
          <w:rFonts w:ascii="Arial" w:eastAsia="Arial" w:hAnsi="Arial" w:cs="Arial"/>
          <w:color w:val="E74C3C"/>
          <w:sz w:val="24"/>
          <w:szCs w:val="24"/>
        </w:rPr>
        <w:t>Example: 12 Jan 2026 – 24 Apr 2026.</w:t>
      </w:r>
    </w:p>
    <w:p w:rsidRPr="2030048C" w:rsidP="2030048C">
      <w:pPr>
        <w:rPr>
          <w:rFonts w:ascii="Arial" w:eastAsia="Arial" w:hAnsi="Arial" w:cs="Arial"/>
          <w:sz w:val="24"/>
          <w:szCs w:val="24"/>
        </w:rPr>
      </w:pPr>
      <w:r w:rsidRPr="2030048C">
        <w:rPr>
          <w:rFonts w:ascii="Arial" w:eastAsia="Arial" w:hAnsi="Arial" w:cs="Arial"/>
          <w:sz w:val="24"/>
          <w:szCs w:val="24"/>
        </w:rPr>
        <w:br/>
      </w:r>
      <w:r w:rsidRPr="2030048C">
        <w:rPr>
          <w:rFonts w:ascii="Arial" w:eastAsia="Arial" w:hAnsi="Arial" w:cs="Arial"/>
          <w:color w:val="E74C3C"/>
          <w:sz w:val="24"/>
          <w:szCs w:val="24"/>
        </w:rPr>
        <w:t>•    TB3</w:t>
      </w:r>
      <w:r w:rsidRPr="2030048C">
        <w:rPr>
          <w:rFonts w:ascii="Arial" w:eastAsia="Arial" w:hAnsi="Arial" w:cs="Arial"/>
          <w:color w:val="E74C3C"/>
          <w:sz w:val="24"/>
          <w:szCs w:val="24"/>
        </w:rPr>
        <w:br/>
      </w:r>
      <w:r w:rsidRPr="2030048C">
        <w:rPr>
          <w:rFonts w:ascii="Arial" w:eastAsia="Arial" w:hAnsi="Arial" w:cs="Arial"/>
          <w:color w:val="E74C3C"/>
          <w:sz w:val="24"/>
          <w:szCs w:val="24"/>
        </w:rPr>
        <w:t>Summer term only.</w:t>
      </w:r>
      <w:r w:rsidRPr="2030048C">
        <w:rPr>
          <w:rFonts w:ascii="Arial" w:eastAsia="Arial" w:hAnsi="Arial" w:cs="Arial"/>
          <w:color w:val="E74C3C"/>
          <w:sz w:val="24"/>
          <w:szCs w:val="24"/>
        </w:rPr>
        <w:br/>
      </w:r>
      <w:r w:rsidRPr="2030048C">
        <w:rPr>
          <w:rFonts w:ascii="Arial" w:eastAsia="Arial" w:hAnsi="Arial" w:cs="Arial"/>
          <w:color w:val="E74C3C"/>
          <w:sz w:val="24"/>
          <w:szCs w:val="24"/>
        </w:rPr>
        <w:t>Example: 25 May 2026 – 24 Jul 2026.</w:t>
      </w:r>
    </w:p>
    <w:p w:rsidRPr="2030048C" w:rsidP="2030048C">
      <w:pPr>
        <w:rPr>
          <w:rFonts w:ascii="Arial" w:eastAsia="Arial" w:hAnsi="Arial" w:cs="Arial"/>
          <w:sz w:val="24"/>
          <w:szCs w:val="24"/>
        </w:rPr>
      </w:pPr>
      <w:r w:rsidRPr="2030048C">
        <w:rPr>
          <w:rFonts w:ascii="Arial" w:eastAsia="Arial" w:hAnsi="Arial" w:cs="Arial"/>
          <w:sz w:val="24"/>
          <w:szCs w:val="24"/>
        </w:rPr>
        <w:br/>
      </w:r>
      <w:r w:rsidRPr="2030048C">
        <w:rPr>
          <w:rFonts w:ascii="Arial" w:eastAsia="Arial" w:hAnsi="Arial" w:cs="Arial"/>
          <w:color w:val="E74C3C"/>
          <w:sz w:val="24"/>
          <w:szCs w:val="24"/>
        </w:rPr>
        <w:t>•    SPAN</w:t>
      </w:r>
      <w:r w:rsidRPr="2030048C">
        <w:rPr>
          <w:rFonts w:ascii="Arial" w:eastAsia="Arial" w:hAnsi="Arial" w:cs="Arial"/>
          <w:color w:val="E74C3C"/>
          <w:sz w:val="24"/>
          <w:szCs w:val="24"/>
        </w:rPr>
        <w:br/>
      </w:r>
      <w:r w:rsidRPr="2030048C">
        <w:rPr>
          <w:rFonts w:ascii="Arial" w:eastAsia="Arial" w:hAnsi="Arial" w:cs="Arial"/>
          <w:color w:val="E74C3C"/>
          <w:sz w:val="24"/>
          <w:szCs w:val="24"/>
        </w:rPr>
        <w:t>Module spans two academic years.</w:t>
      </w:r>
      <w:r w:rsidRPr="2030048C">
        <w:rPr>
          <w:rFonts w:ascii="Arial" w:eastAsia="Arial" w:hAnsi="Arial" w:cs="Arial"/>
          <w:color w:val="E74C3C"/>
          <w:sz w:val="24"/>
          <w:szCs w:val="24"/>
        </w:rPr>
        <w:br/>
      </w:r>
      <w:r w:rsidRPr="2030048C">
        <w:rPr>
          <w:rFonts w:ascii="Arial" w:eastAsia="Arial" w:hAnsi="Arial" w:cs="Arial"/>
          <w:color w:val="E74C3C"/>
          <w:sz w:val="24"/>
          <w:szCs w:val="24"/>
        </w:rPr>
        <w:t>•    Internally recorded as SPAN1 (first part) and SPAN2 (second part) in SITS.</w:t>
      </w:r>
      <w:r w:rsidRPr="2030048C">
        <w:rPr>
          <w:rFonts w:ascii="Arial" w:eastAsia="Arial" w:hAnsi="Arial" w:cs="Arial"/>
          <w:color w:val="E74C3C"/>
          <w:sz w:val="24"/>
          <w:szCs w:val="24"/>
        </w:rPr>
        <w:br/>
      </w:r>
      <w:r w:rsidRPr="2030048C">
        <w:rPr>
          <w:rFonts w:ascii="Arial" w:eastAsia="Arial" w:hAnsi="Arial" w:cs="Arial"/>
          <w:color w:val="E74C3C"/>
          <w:sz w:val="24"/>
          <w:szCs w:val="24"/>
        </w:rPr>
        <w:t>•    For CMS entries, using SPAN is sufficient as long as the team understands it covers two academic years.</w:t>
      </w:r>
      <w:r w:rsidRPr="2030048C">
        <w:rPr>
          <w:rFonts w:ascii="Arial" w:eastAsia="Arial" w:hAnsi="Arial" w:cs="Arial"/>
          <w:color w:val="E74C3C"/>
          <w:sz w:val="24"/>
          <w:szCs w:val="24"/>
        </w:rPr>
        <w:br/>
      </w:r>
      <w:r w:rsidRPr="2030048C">
        <w:rPr>
          <w:rFonts w:ascii="Arial" w:eastAsia="Arial" w:hAnsi="Arial" w:cs="Arial"/>
          <w:color w:val="E74C3C"/>
          <w:sz w:val="24"/>
          <w:szCs w:val="24"/>
        </w:rPr>
        <w:t>Example: 1 May 2025 – 1 Sept 2026.</w:t>
      </w:r>
    </w:p>
    <w:p w:rsidRPr="2030048C" w:rsidP="2030048C">
      <w:pPr>
        <w:rPr>
          <w:rFonts w:ascii="Arial" w:eastAsia="Arial" w:hAnsi="Arial" w:cs="Arial"/>
          <w:sz w:val="24"/>
          <w:szCs w:val="24"/>
        </w:rPr>
      </w:pPr>
      <w:r w:rsidRPr="2030048C">
        <w:rPr>
          <w:rFonts w:ascii="Arial" w:eastAsia="Arial" w:hAnsi="Arial" w:cs="Arial"/>
          <w:sz w:val="24"/>
          <w:szCs w:val="24"/>
        </w:rPr>
        <w:br/>
      </w:r>
      <w:r w:rsidRPr="2030048C">
        <w:rPr>
          <w:rFonts w:ascii="Arial" w:eastAsia="Arial" w:hAnsi="Arial" w:cs="Arial"/>
          <w:color w:val="E74C3C"/>
          <w:sz w:val="24"/>
          <w:szCs w:val="24"/>
        </w:rPr>
        <w:t>•    ACYR</w:t>
      </w:r>
      <w:r w:rsidRPr="2030048C">
        <w:rPr>
          <w:rFonts w:ascii="Arial" w:eastAsia="Arial" w:hAnsi="Arial" w:cs="Arial"/>
          <w:color w:val="E74C3C"/>
          <w:sz w:val="24"/>
          <w:szCs w:val="24"/>
        </w:rPr>
        <w:br/>
      </w:r>
      <w:r w:rsidRPr="2030048C">
        <w:rPr>
          <w:rFonts w:ascii="Arial" w:eastAsia="Arial" w:hAnsi="Arial" w:cs="Arial"/>
          <w:color w:val="E74C3C"/>
          <w:sz w:val="24"/>
          <w:szCs w:val="24"/>
        </w:rPr>
        <w:t>Module taught within dates that do not fit standard slots.</w:t>
      </w:r>
      <w:r w:rsidRPr="2030048C">
        <w:rPr>
          <w:rFonts w:ascii="Arial" w:eastAsia="Arial" w:hAnsi="Arial" w:cs="Arial"/>
          <w:color w:val="E74C3C"/>
          <w:sz w:val="24"/>
          <w:szCs w:val="24"/>
        </w:rPr>
        <w:br/>
      </w:r>
      <w:r w:rsidRPr="2030048C">
        <w:rPr>
          <w:rFonts w:ascii="Arial" w:eastAsia="Arial" w:hAnsi="Arial" w:cs="Arial"/>
          <w:color w:val="E74C3C"/>
          <w:sz w:val="24"/>
          <w:szCs w:val="24"/>
        </w:rPr>
        <w:t>Example: 1 Aug 2025 – 1 Oct 2025.</w:t>
      </w:r>
      <w:r w:rsidRPr="2030048C">
        <w:rPr>
          <w:rFonts w:ascii="Arial" w:eastAsia="Arial" w:hAnsi="Arial" w:cs="Arial"/>
          <w:sz w:val="24"/>
          <w:szCs w:val="24"/>
        </w:rPr>
        <w:br/>
      </w:r>
      <w:r w:rsidRPr="2030048C">
        <w:rPr>
          <w:rFonts w:ascii="Arial" w:eastAsia="Arial" w:hAnsi="Arial" w:cs="Arial"/>
          <w:sz w:val="24"/>
          <w:szCs w:val="24"/>
        </w:rPr>
        <w:t> </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multilevel"/>
    <w:tmpl w:val="74989B0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8F298587-5923-49F4-933C-161AAEFFFCD3}"/>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