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BEng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Electrical and Electronic Engineering top-up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01/01/2012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19/06/2025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5</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Engineering</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Electrical, Electronic and Robotic Engineering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ESOFT</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BEng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Electrical and Electronic Engineering top-up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BEng Electrical and Electronic Engineering</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ESOFT</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Moratuwa, ESOFT, Sri Lanka</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tbl>
            <w:tblPr>
              <w:tblStyle w:val="Table"/>
              <w:tblCellSpacing w:w="15" w:type="dxa"/>
              <w:tblCellMar>
                <w:top w:w="15" w:type="dxa"/>
                <w:left w:w="15" w:type="dxa"/>
                <w:bottom w:w="15" w:type="dxa"/>
                <w:right w:w="15" w:type="dxa"/>
              </w:tblCellMar>
              <w:tblLook w:val="05E0"/>
            </w:tblPr>
            <w:tblGrid>
              <w:gridCol w:w="5674"/>
            </w:tblGrid>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The minimum entry qualifications for the programme are from </w:t>
                  </w:r>
                  <w:r w:rsidRPr="2030048C">
                    <w:rPr>
                      <w:rStyle w:val="normaltextrun"/>
                      <w:rFonts w:ascii="Arial" w:eastAsia="Arial" w:hAnsi="Arial" w:cs="Arial"/>
                      <w:b w:val="0"/>
                      <w:bCs w:val="0"/>
                      <w:color w:val="000000"/>
                      <w:sz w:val="22"/>
                      <w:szCs w:val="22"/>
                      <w:shd w:val="clear" w:color="auto" w:fill="FFFFFF"/>
                    </w:rPr>
                    <w:t>BTEC HND Levels: a</w:t>
                  </w:r>
                  <w:r w:rsidRPr="2030048C">
                    <w:rPr>
                      <w:rStyle w:val="normaltextrun"/>
                      <w:rFonts w:ascii="Arial" w:eastAsia="Arial" w:hAnsi="Arial" w:cs="Arial"/>
                      <w:b w:val="0"/>
                      <w:bCs w:val="0"/>
                      <w:color w:val="000000"/>
                      <w:sz w:val="22"/>
                      <w:szCs w:val="22"/>
                      <w:shd w:val="clear" w:color="auto" w:fill="FFFFFF"/>
                    </w:rPr>
                    <w:t xml:space="preserve"> pass in the relevant HND to include a pass in the nineteen units listed in Table below (or their equivalent) and achievement of an overall score of 300 credit points of which150 must be at Level 5.</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i/>
                      <w:iCs/>
                      <w:color w:val="000000"/>
                      <w:sz w:val="14"/>
                      <w:szCs w:val="14"/>
                      <w:shd w:val="clear" w:color="auto" w:fill="FFFFFF"/>
                    </w:rPr>
                    <w:t>Pearson BTEC HND in Electrical and Electronic Engineering</w:t>
                  </w:r>
                </w:p>
                <w:tbl>
                  <w:tblPr>
                    <w:tblStyle w:val="Table"/>
                    <w:tblCellSpacing w:w="15" w:type="dxa"/>
                    <w:tblCellMar>
                      <w:top w:w="15" w:type="dxa"/>
                      <w:left w:w="15" w:type="dxa"/>
                      <w:bottom w:w="15" w:type="dxa"/>
                      <w:right w:w="15" w:type="dxa"/>
                    </w:tblCellMar>
                    <w:tblLook w:val="05E0"/>
                  </w:tblPr>
                  <w:tblGrid>
                    <w:gridCol w:w="3251"/>
                    <w:gridCol w:w="1493"/>
                    <w:gridCol w:w="906"/>
                    <w:gridCol w:w="30"/>
                    <w:gridCol w:w="30"/>
                  </w:tblGrid>
                  <w:tr>
                    <w:tblPrEx>
                      <w:tblLook w:val="05E0"/>
                    </w:tblPrEx>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14"/>
                            <w:szCs w:val="14"/>
                            <w:shd w:val="clear" w:color="auto" w:fill="FFFFFF"/>
                          </w:rPr>
                          <w:t>Subject Details</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14"/>
                            <w:szCs w:val="14"/>
                            <w:shd w:val="clear" w:color="auto" w:fill="FFFFFF"/>
                          </w:rPr>
                          <w:t>QCF Level</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14"/>
                            <w:szCs w:val="14"/>
                            <w:shd w:val="clear" w:color="auto" w:fill="FFFFFF"/>
                          </w:rPr>
                          <w:t>Credit Value</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ind w:left="72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 xml:space="preserve">Unit 1: Engineering Design </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4</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15</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ind w:left="72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Unit 2: Engineering Maths</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4</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15</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ind w:left="72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Unit 3: Engineering Science</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4</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15</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ind w:left="72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Unit 4: Managing a Professional Engineering Project</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4</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15</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ind w:left="72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 xml:space="preserve">Unit 19: Electrical and Electronic Principles  </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4</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15</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ind w:left="72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Unit 20: Digital Principles</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4</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15</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ind w:left="72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Unit 21: Electrical Machines</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4</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15</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ind w:left="72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 xml:space="preserve">Unit 35: Professional Engineering Management   </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5</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15</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ind w:left="72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Unit 15: Automation, Robotics and PLCs</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4</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15</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ind w:left="72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Unit 39: Further Mathematics</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5</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15</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ind w:left="72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Unit 22: Electronic Circuits and Devices</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4</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15</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ind w:left="72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Unit 118: Telecommunication Principles</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4</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15</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ind w:left="72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Unit 47: Analogue Electronic Systems</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5</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15</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ind w:left="72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Unit 46: Embedded Systems</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5</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15</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ind w:left="72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Unit 54: Further Control Systems Engineering</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5</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15</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ind w:left="72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 xml:space="preserve">Unit 52: Further Electrical, Electronic and Principles    </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5</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15</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ind w:left="795"/>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 xml:space="preserve">Unit 44: Industrial Power, Electronics and Storage    </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5</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15</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ind w:left="795"/>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 xml:space="preserve">Unit 34: Research Project     </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5</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30</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ind w:left="795"/>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 xml:space="preserve">Unit 45: Industrial Systems      </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5</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15</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ind w:left="795"/>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tc>
                    <w:tc>
                      <w:tcPr>
                        <w:noWrap w:val="0"/>
                        <w:tcMar>
                          <w:top w:w="15" w:type="dxa"/>
                          <w:left w:w="15" w:type="dxa"/>
                          <w:bottom w:w="15" w:type="dxa"/>
                          <w:right w:w="15" w:type="dxa"/>
                        </w:tcMar>
                        <w:vAlign w:val="center"/>
                        <w:hideMark/>
                      </w:tcPr>
                      <w:p w:rsidRPr="2030048C" w:rsidP="2030048C">
                        <w:pPr>
                          <w:ind w:left="72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i/>
                            <w:iCs/>
                            <w:color w:val="000000"/>
                            <w:sz w:val="14"/>
                            <w:szCs w:val="14"/>
                            <w:shd w:val="clear" w:color="auto" w:fill="FFFFFF"/>
                          </w:rPr>
                          <w:t>QCF Level 5 units</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tc>
                  </w:tr>
                </w:tbl>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Applications with similar or equivalent qualifications will be considered on a case-by-case basis (including both HND from other providers, as well as mature applicants with industrial experience)</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2"/>
                      <w:szCs w:val="22"/>
                      <w:shd w:val="clear" w:color="auto" w:fill="FFFFFF"/>
                    </w:rPr>
                    <w:t xml:space="preserve">English Language Requirements: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IELTS–minimum 6.0 overall, with no element below 5.5;</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Kingston University have also approved the following mapping as equivalent alternatives to IELTS requirements;</w:t>
                  </w:r>
                </w:p>
                <w:p w:rsidRPr="2030048C" w:rsidP="2030048C">
                  <w:pPr>
                    <w:numPr>
                      <w:ilvl w:val="0"/>
                      <w:numId w:val="12"/>
                    </w:numPr>
                    <w:ind w:left="720" w:hanging="36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GCE O Level English Language: Credit, Distinction or Very good pass</w:t>
                  </w:r>
                </w:p>
                <w:p w:rsidRPr="2030048C" w:rsidP="2030048C">
                  <w:pPr>
                    <w:numPr>
                      <w:ilvl w:val="0"/>
                      <w:numId w:val="12"/>
                    </w:numPr>
                    <w:ind w:left="720" w:hanging="36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ESOFT English for Academic Purposes modules in reading, writing, listening and speaking</w:t>
                  </w:r>
                  <w:r w:rsidRPr="2030048C">
                    <w:rPr>
                      <w:rStyle w:val="normaltextrun"/>
                      <w:rFonts w:ascii="Arial" w:eastAsia="Arial" w:hAnsi="Arial" w:cs="Arial"/>
                      <w:b w:val="0"/>
                      <w:bCs w:val="0"/>
                      <w:color w:val="000000"/>
                      <w:sz w:val="22"/>
                      <w:szCs w:val="22"/>
                      <w:shd w:val="clear" w:color="auto" w:fill="FFFFFF"/>
                    </w:rPr>
                    <w:t xml:space="preserve">: results which equate to our normal entry conditions in the following ways (*NB: The overall grade to be an average of the four skills module results.) </w:t>
                  </w:r>
                </w:p>
                <w:tbl>
                  <w:tblPr>
                    <w:tblStyle w:val="Table"/>
                    <w:tblCellSpacing w:w="15" w:type="dxa"/>
                    <w:tblCellMar>
                      <w:top w:w="15" w:type="dxa"/>
                      <w:left w:w="15" w:type="dxa"/>
                      <w:bottom w:w="15" w:type="dxa"/>
                      <w:right w:w="15" w:type="dxa"/>
                    </w:tblCellMar>
                    <w:tblLook w:val="05E0"/>
                  </w:tblPr>
                  <w:tblGrid>
                    <w:gridCol w:w="641"/>
                    <w:gridCol w:w="763"/>
                  </w:tblGrid>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IELTS</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ESOFT</w:t>
                        </w:r>
                      </w:p>
                    </w:tc>
                  </w:tr>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6.5</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58+</w:t>
                        </w:r>
                      </w:p>
                    </w:tc>
                  </w:tr>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6.0 </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50-57</w:t>
                        </w:r>
                      </w:p>
                    </w:tc>
                  </w:tr>
                </w:tbl>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pStyle w:val="MsoBodyText3"/>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ind w:right="-15"/>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tc>
            </w:tr>
          </w:tbl>
          <w:p w:rsidR="00C447A7" w:rsidRPr="00BF1022" w:rsidP="2030048C" w14:paraId="4B08F2A9"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Non accredited programme</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xml:space="preserve">None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ight="-15"/>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programme aims to provide opportunities for students to undertake a broad-based education in electrical and electronic engineering, and to acquire appropriate knowledge and understanding, of engineering skills and key skills, to become a professional Electrical and Electronic Engineer. It is also aimed for enabling graduates to follow careers in other professional disciplines where clear, logical, numerate skills in combination with the ability to solve problems, communicate solutions and work in teams are valued.</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More specific aims of the programme are: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use their knowledge and understanding of electrical and electronic science to produce soundly based solutions to engineering problems, through the careful evaluation of available evidence, arguments and assumptions;</w:t>
      </w:r>
    </w:p>
    <w:p w:rsidRPr="2030048C" w:rsidP="2030048C">
      <w:pPr>
        <w:pStyle w:val="ListParagraph"/>
        <w:ind w:left="45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apply theoretical and practical techniques in a creative way to the analysis and solution of engineering problems;</w:t>
      </w:r>
    </w:p>
    <w:p w:rsidRPr="2030048C" w:rsidP="2030048C">
      <w:pPr>
        <w:pStyle w:val="ListParagraph"/>
        <w:ind w:left="72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5"/>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provide a high level of technical leadership and extended experience of group activities;</w:t>
      </w:r>
    </w:p>
    <w:p w:rsidRPr="2030048C" w:rsidP="2030048C">
      <w:pPr>
        <w:pStyle w:val="ListParagraph"/>
        <w:ind w:left="72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use initiative, effective communication and interpersonal skills;</w:t>
      </w:r>
    </w:p>
    <w:p w:rsidRPr="2030048C" w:rsidP="2030048C">
      <w:pPr>
        <w:pStyle w:val="ListParagraph"/>
        <w:ind w:left="72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operate within the appropriate code of professional conduct, recognising obligations to society, the profession and the environment.</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systematic, detailed and critical understanding of electrical and electronic science, ranging from the well-established principles to new techniques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ability to apply the concepts and principles of electrical and electronic engineering science to the solution of engineering problems in a number of commonly encountered engineering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Employ a range of established and new techniques to review and critically analyze information concerning engineering problems, and to propose and implement solutions in a professional manner</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basic knowledge and understanding of practical technologies currently used in electrical and electronic engineering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ability to critically evaluate information in the form of arguments, assumptions and/or technical data (that may or may not be complete) in order to be able to produce solutions to problems in electrical and electronic engineering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Deal with complex engineering issues, both systematically and creatively, make sound judgments in the absence of complete data, and communicate their conclusions clearly to both specialist and non-specialist audiences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critical understanding of the uncertainty, ambiguity and limits of their knowledge, and how this may affect analyses of, and solutions to, engineering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theoretical analysis, modelling and simulation to formulate and to solve problems in electrical and electronic engineering.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Undertake further continuing professional development and the development of new and advanced skills that will enable them to assume a high level of responsibility within an engineering organization.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awareness of the commercial and financial constraints that engineers may have to work under.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Manage projects, people, resources and time taking account of legal and statutory requirements, risk, safety, quality and reliability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appropriate industry-standard computer software in the solution of practical problems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different electrical system structure and execution, design methods, and techniques.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ability to effectively present technical information in both written and spoken form.</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The final year, Level 6 Top-Up programme comprises four modules each worth 30 credits, and offered in the full-time mode. A student must complete all four modules (total 120 credits).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BEng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Electrical and Electronic Engineering top-up</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BEng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Electrical and Electronic Engineering top-up</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Electrical Systems Design and Installation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EE6011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Individual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EE6014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Instrumentation, Control and Group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EE6012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Renewable Energy Systems and Energy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EE6013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66934EB1" w:rsidP="2030048C" w14:paraId="203697D8"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367"/>
        <w:gridCol w:w="915"/>
        <w:gridCol w:w="915"/>
        <w:gridCol w:w="915"/>
        <w:gridCol w:w="91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EE6011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EE6012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EE6013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EE6014</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multilevel"/>
    <w:tmpl w:val="74989B0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Table">
    <w:name w:val="Table"/>
    <w:basedOn w:val="TableNormal"/>
    <w:tblPr/>
  </w:style>
  <w:style w:type="paragraph" w:customStyle="1" w:styleId="MsoBodyText3">
    <w:name w:val="MsoBodyText3"/>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95E7A09E-8804-4965-A82B-F3C0A4CAF85A}"/>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