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Civil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Civil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BEng Civil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Civil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UFCEE1CEE02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H210 (3 year full-time) H211 (4 year sandwich)</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Civil Engineering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BEng Civil Engineering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Civil Engineering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UFCEE1CEE55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Civil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BEng Civil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Civil Engineering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USCEE1CEE45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Civil Engineering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BEng Civil Engineering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Civil Engineering with Foundation Year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USCEE1CEE56</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degree is accredited by the Joint Board of Moderators (</w:t>
            </w:r>
            <w:hyperlink r:id="rId9" w:tgtFrame="_blank" w:history="1">
              <w:r w:rsidRPr="2030048C">
                <w:rPr>
                  <w:rStyle w:val="normaltextrun"/>
                  <w:rFonts w:ascii="Arial" w:eastAsia="Arial" w:hAnsi="Arial" w:cs="Arial"/>
                  <w:b w:val="0"/>
                  <w:bCs w:val="0"/>
                  <w:color w:val="000000"/>
                  <w:sz w:val="24"/>
                  <w:szCs w:val="24"/>
                  <w:shd w:val="clear" w:color="auto" w:fill="FFFFFF"/>
                </w:rPr>
                <w:t>JBM</w:t>
              </w:r>
            </w:hyperlink>
            <w:r w:rsidRPr="2030048C">
              <w:rPr>
                <w:rStyle w:val="normaltextrun"/>
                <w:rFonts w:ascii="Arial" w:eastAsia="Arial" w:hAnsi="Arial" w:cs="Arial"/>
                <w:b w:val="0"/>
                <w:bCs w:val="0"/>
                <w:color w:val="000000"/>
                <w:sz w:val="24"/>
                <w:szCs w:val="24"/>
                <w:shd w:val="clear" w:color="auto" w:fill="FFFFFF"/>
              </w:rPr>
              <w:t>) comprising the Institution of Civil Engineers, Institution of Structural Engineers, Institute of Highway Engineers, the Chartered Institution of Highways and Transportation and the Permanent Way Institution on behalf of the Engineering Council (Accreditation of Higher Education Programmes) for the purposes of fully meeting the academic requirement for registration as an Incorporated Engineer (IEng) and partially meeting the academic requirement for registration as a Chartered Engineer (CEng). Candidates must hold a masters or doctorate accredited as further learning for CEng to hold accredited qualifications for CEng registration.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See www.jbm.org.uk for further information and details of Further Learning programmes for CEng.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We have approved variants required to meet the new Engineering Council compensation-and-condonement-policy.</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 of the programme is: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engineering science, design, management, business and interpersonal skills required to become a professional Civil Engineer, as well as to enable them to follow careers in other professional disciplines where clear, logical, numerate skills in combination with the ability to solve problems, communicate solutions and work in teams are valued.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programme are: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good design capability together with the required breadth and depth of theoretical and practical knowledge of established technologies and methods in Civil Engineering;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graduates to develop analytical and problem-solving skills and to evaluate evidence and assumptions to reach sound judgements and communicate these effectively;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inculcate a deep understanding of engineering principles that prepare graduates with a creative approach to the solution of civil engineering challenges and the requisite technical skills to realise these solutions with responsibility for project management;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research skills required for postgraduate study and employability skills required for work in the civil engineering and the built- environmental fields;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design, sustainability, health and safety risk management, professionalism, ethics and inclusion practice principles.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skills in problem solving, communication, information retrieval, working with others and the effective use of technologies.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plan and carry out a personal programme of work, adjusting where appropriate, and develop the capacity for independent study and lifelong learning.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scientific principles and methodology necessary to underpin their education in  civil engineering, to enable appreciation of its scientific and engineering context, and  to devise sustainable, safe, economical and creative practical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fundamental theoretical studies of scientific and mathematical principles that underpin engineering and specifically civil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laboratory and workshop equipment for experimental investigation and evaluate data to produce practically valuable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materials, structures, geotechnics, hydraulics, surveying, water, highway, transportation and environmental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mathematics as a tool for solving complex problems, communicating results, concepts and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fieldwork and analyse the data obtained for use in planning and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appreciation of broader technical and non-technical engineering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and imaginatively to solve design problems and manage continuous improvement through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complex technical equipment and instruments, and work with information that may be incomplete or uncertain and quantify the effect of this on the design and construction.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management and business applications to civil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computer technology to assist with information retrieval, management and communication, recognising the appropriate software that supports analysis, design and digital construction.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importance of Risk and Health and Safety in the engineering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Comply with Health and Safety regulation and procedure in practical engineering situations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all their studies to a knowledge and holistic understanding of sustainability including social, economic and environmental aspects as well as the effect of global challenge, wrapped up in the Climate Emergency, and environmental assessments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develop the professional conduct expected of Professional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Work independently or as part of a team to initiate, investigate, plan, manage and drive projects to a successful conclusion and produce the associated documentation (proposals, plans, reports, presentations).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 xml:space="preserve">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Communicate their work to technical and non-technical audiences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67"/>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Fluid and Soil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Mechanics &amp;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Mathematics &amp; Engineering Analytics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Professional Engineers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Structural Analysis &amp;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Sustainability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Civil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Digital Construction &amp; Building Information Modelling (BIM)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Engineering Geodesy and GIS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Engineering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Geotechnics &amp; Materials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Hydraulics &amp; Water Engineering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Structural Analysis &amp; Design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 Structural Modelling &amp;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Geotechnical &amp; Environmental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Highway, Transport &amp; Traffic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Integrated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Civil Engineering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 with Foundation Year and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Civil Engineering with Foundation Year and Professional Placement</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04"/>
        <w:gridCol w:w="168"/>
        <w:gridCol w:w="425"/>
        <w:gridCol w:w="425"/>
        <w:gridCol w:w="425"/>
        <w:gridCol w:w="425"/>
        <w:gridCol w:w="425"/>
        <w:gridCol w:w="431"/>
        <w:gridCol w:w="425"/>
        <w:gridCol w:w="425"/>
        <w:gridCol w:w="425"/>
        <w:gridCol w:w="425"/>
        <w:gridCol w:w="425"/>
        <w:gridCol w:w="425"/>
        <w:gridCol w:w="382"/>
        <w:gridCol w:w="425"/>
        <w:gridCol w:w="425"/>
        <w:gridCol w:w="425"/>
        <w:gridCol w:w="425"/>
        <w:gridCol w:w="425"/>
        <w:gridCol w:w="42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jbm.org.uk/"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AE9E6FC-F393-4ADB-82F2-3F9464D49D0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