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Civil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H210 (3 year full-time) H211 (4 year sandwich)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an Incorporated Engineer (IEng) and partially meeting the academic requirement for registration as a Chartered Engineer (CEng). Candidates must hold a masters or doctorate accredited as further learning for CEng to hold accredited qualifications for CEng registration.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Further Learning programmes for CEng.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Yes. Two approved variants are required to meet the new Engineering Council requirements.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w:t>
            </w:r>
            <w:r w:rsidRPr="158602C4">
              <w:rPr>
                <w:rStyle w:val="normaltextrun"/>
                <w:rFonts w:ascii="Arial" w:eastAsia="Arial" w:hAnsi="Arial" w:cs="Arial"/>
                <w:b w:val="0"/>
                <w:bCs w:val="0"/>
                <w:color w:val="000000"/>
                <w:sz w:val="24"/>
                <w:szCs w:val="24"/>
                <w:u w:val="single" w:color="000000"/>
              </w:rPr>
              <w:t>not</w:t>
            </w:r>
            <w:r w:rsidRPr="158602C4">
              <w:rPr>
                <w:rStyle w:val="normaltextrun"/>
                <w:rFonts w:ascii="Arial" w:eastAsia="Arial" w:hAnsi="Arial" w:cs="Arial"/>
                <w:b w:val="0"/>
                <w:bCs w:val="0"/>
                <w:color w:val="000000"/>
                <w:sz w:val="24"/>
                <w:szCs w:val="24"/>
              </w:rPr>
              <w:t xml:space="preserve"> permitted, to meet PSRB requirements, for the following modules: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CE6035</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sz w:val="24"/>
                <w:szCs w:val="24"/>
              </w:rPr>
              <w:t xml:space="preserve">Individual Technical Report &amp; End Point Assessment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CE6027</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sz w:val="24"/>
                <w:szCs w:val="24"/>
              </w:rPr>
              <w:t xml:space="preserve">Integrated Group Design Project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Maximum 30 credit compensation across the programme.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Civil Engineer (Degree)- ST0417</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Information regarding available apprenticeships with a number of Employers can be found on the </w:t>
            </w:r>
            <w:hyperlink r:id="rId10" w:tgtFrame="_blank" w:history="1">
              <w:r w:rsidRPr="2030048C">
                <w:rPr>
                  <w:rStyle w:val="normaltextrun"/>
                  <w:rFonts w:ascii="Arial" w:eastAsia="Arial" w:hAnsi="Arial" w:cs="Arial"/>
                  <w:b w:val="0"/>
                  <w:bCs w:val="0"/>
                  <w:color w:val="000000"/>
                  <w:sz w:val="24"/>
                  <w:szCs w:val="24"/>
                  <w:shd w:val="clear" w:color="auto" w:fill="FFFFFF"/>
                </w:rPr>
                <w:t>Institute for Technical Apprenticeships and Education</w:t>
              </w:r>
            </w:hyperlink>
            <w:r w:rsidRPr="2030048C">
              <w:rPr>
                <w:rStyle w:val="normaltextrun"/>
                <w:rFonts w:ascii="Arial" w:eastAsia="Arial" w:hAnsi="Arial" w:cs="Arial"/>
                <w:b w:val="0"/>
                <w:bCs w:val="0"/>
                <w:color w:val="000000"/>
                <w:sz w:val="24"/>
                <w:szCs w:val="24"/>
                <w:shd w:val="clear" w:color="auto" w:fill="FFFFFF"/>
              </w:rPr>
              <w:t xml:space="preserve"> . Apprentices apply for positions with Employers, and then, following application, interview and selection process, successful apprentices apply for the degree apprenticeship through our application process led by the Central Apprenticeships Team (CAT), Admission Tutor and Programme Course Leader. Assuming qualification stipulations are met by the apprentice, they will be invited to complete the on-boarding process through our end-to-end software Aptem.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All apprentices are subject to an Initial Needs Assessment (INA) against the KSBs as defined by IfATE and the L6 Civil Engineer Standard ST0417 in consultation between the employer, university and apprentice. The INA addresses Recognised Prior Learning (RPL) and identifies the apprentice’s starting level of competency against the learning outcomes for each core module, in-so-doing allowing the Academic Lead to determine the correct Entry Level and module diet. The INA is completed as part of Kingston Universities On-boarding Process for apprentices, all documentation being completed, reviewed, and stored using the end-to-end software Aptem.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Following completion and review of the INA, a Learner Journey is created to fit the needs of the apprentice. This is agreed by all parties and signed as part of the contract process. Note, RPL will be conducted in accordance with Section H of the AQSH.</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to this programme is normally at Level 4 with A-Level or equivalent (level 3) qualifications as stated above. Advanced entry to Level 5 requires academic qualifications in a relevant field that deemed equivalent to BEng at Level 4 (normally HNC) or academic qualification deemed equivalent to BEng Level 5 (normally HND).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Please see our apprenticeship webpages - </w:t>
            </w:r>
            <w:hyperlink r:id="rId11" w:tgtFrame="_blank" w:history="1">
              <w:r w:rsidRPr="2030048C">
                <w:rPr>
                  <w:rStyle w:val="normaltextrun"/>
                  <w:rFonts w:ascii="Arial" w:eastAsia="Arial" w:hAnsi="Arial" w:cs="Arial"/>
                  <w:b w:val="0"/>
                  <w:bCs w:val="0"/>
                  <w:color w:val="000000"/>
                  <w:sz w:val="24"/>
                  <w:szCs w:val="24"/>
                  <w:shd w:val="clear" w:color="auto" w:fill="FFFFFF"/>
                </w:rPr>
                <w:t>https://www.kingston.ac.uk/degree-apprenticeships/</w:t>
              </w:r>
            </w:hyperlink>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hyperlink r:id="rId11" w:tgtFrame="_blank" w:history="1">
              <w:r w:rsidRPr="2030048C">
                <w:rPr>
                  <w:rStyle w:val="normaltextrun"/>
                  <w:rFonts w:ascii="Arial" w:eastAsia="Arial" w:hAnsi="Arial" w:cs="Arial"/>
                  <w:b w:val="0"/>
                  <w:bCs w:val="0"/>
                  <w:color w:val="000000"/>
                  <w:sz w:val="24"/>
                  <w:szCs w:val="24"/>
                  <w:shd w:val="clear" w:color="auto" w:fill="FFFFFF"/>
                </w:rPr>
                <w:t>Higher and Degree Apprenticeships - Kingston University London</w:t>
              </w:r>
            </w:hyperlink>
            <w:r w:rsidRPr="2030048C">
              <w:rPr>
                <w:rStyle w:val="normaltextrun"/>
                <w:rFonts w:ascii="Arial" w:eastAsia="Arial" w:hAnsi="Arial" w:cs="Arial"/>
                <w:b w:val="0"/>
                <w:bCs w:val="0"/>
                <w:color w:val="000000"/>
                <w:sz w:val="24"/>
                <w:szCs w:val="24"/>
                <w:shd w:val="clear" w:color="auto" w:fill="FFFFFF"/>
              </w:rPr>
              <w:t xml:space="preserve"> - for more information."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 (KU)</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The general aim of the programme is:</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More specific aims of the programme are: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intended learning outcomes are referenced to the QAA subject benchmarks for Engineering (2023), the </w:t>
      </w:r>
      <w:hyperlink r:id="rId12" w:tgtFrame="_blank" w:history="1">
        <w:r w:rsidRPr="2030048C">
          <w:rPr>
            <w:rStyle w:val="normaltextrun"/>
            <w:rFonts w:ascii="Arial" w:hAnsi="Arial" w:cs="Arial"/>
            <w:color w:val="000000" w:themeColor="text1"/>
            <w:sz w:val="24"/>
            <w:szCs w:val="24"/>
            <w:shd w:val="clear" w:color="auto" w:fill="FFFFFF"/>
          </w:rPr>
          <w:t>IfATE Level 6 Degree Apprenticeship standard for “Civil Engineer”, ST0417</w:t>
        </w:r>
      </w:hyperlink>
      <w:r w:rsidRPr="2030048C">
        <w:rPr>
          <w:rStyle w:val="normaltextrun"/>
          <w:rFonts w:ascii="Arial" w:hAnsi="Arial" w:cs="Arial"/>
          <w:color w:val="000000" w:themeColor="text1"/>
          <w:sz w:val="24"/>
          <w:szCs w:val="24"/>
          <w:shd w:val="clear" w:color="auto" w:fill="FFFFFF"/>
        </w:rPr>
        <w:t> . The course provides opportunities for learners to develop and demonstrate knowledge and understanding specific to the subject, key skills and graduate attributes.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addition, the defined learning outcomes are those published by the </w:t>
      </w:r>
      <w:hyperlink r:id="rId13" w:tgtFrame="_blank" w:history="1">
        <w:r w:rsidRPr="2030048C">
          <w:rPr>
            <w:rStyle w:val="normaltextrun"/>
            <w:rFonts w:ascii="Arial" w:hAnsi="Arial" w:cs="Arial"/>
            <w:color w:val="000000" w:themeColor="text1"/>
            <w:sz w:val="24"/>
            <w:szCs w:val="24"/>
            <w:shd w:val="clear" w:color="auto" w:fill="FFFFFF"/>
          </w:rPr>
          <w:t>Engineering Council</w:t>
        </w:r>
      </w:hyperlink>
      <w:r w:rsidRPr="2030048C">
        <w:rPr>
          <w:rStyle w:val="normaltextrun"/>
          <w:rFonts w:ascii="Arial" w:hAnsi="Arial" w:cs="Arial"/>
          <w:color w:val="000000" w:themeColor="text1"/>
          <w:sz w:val="24"/>
          <w:szCs w:val="24"/>
          <w:shd w:val="clear" w:color="auto" w:fill="FFFFFF"/>
        </w:rPr>
        <w:t xml:space="preserve"> in the UK Standard for Professional Engineering Competence (UK-SPEC):  </w:t>
      </w:r>
      <w:hyperlink r:id="rId14" w:tgtFrame="_blank" w:history="1">
        <w:r w:rsidRPr="2030048C">
          <w:rPr>
            <w:rStyle w:val="normaltextrun"/>
            <w:rFonts w:ascii="Arial" w:hAnsi="Arial" w:cs="Arial"/>
            <w:color w:val="000000" w:themeColor="text1"/>
            <w:sz w:val="24"/>
            <w:szCs w:val="24"/>
            <w:shd w:val="clear" w:color="auto" w:fill="FFFFFF"/>
          </w:rPr>
          <w:t>The accreditation of Higher Education Programmes - Fourth edition</w:t>
        </w:r>
      </w:hyperlink>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5"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6"/>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methodology necessary to underpin their education in  civil engineering, to enable appreciation of its scientific and engineering context, and  to devise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laboratory and workshop equipment, safely, for experimental investigation and evaluate data to produce practically valuable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fieldwork and analyse the data obtained for use in planning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technical equipment and instruments, and work with information that may be incomplete or uncertain and quantify the effect of this on the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to assist with information retrieval, management and communication, recognising the appropriate software that supports analysis, design and digital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Comply with Health and Safety regulation and procedure in practical engineering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 wrapped up in the Climate Emergency,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 including communicating their work to technical and non-technical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0"/>
        <w:rPr>
          <w:rFonts w:ascii="Arial" w:eastAsia="Arial" w:hAnsi="Arial" w:cs="Arial"/>
          <w:color w:val="000000" w:themeColor="text1" w:themeShade="FF" w:themeTint="FF"/>
          <w:sz w:val="24"/>
          <w:szCs w:val="24"/>
        </w:rPr>
      </w:pPr>
      <w:hyperlink r:id="rId17" w:history="1">
        <w:r w:rsidRPr="2030048C">
          <w:rPr>
            <w:rFonts w:ascii="Arial" w:eastAsia="Arial" w:hAnsi="Arial" w:cs="Arial"/>
            <w:color w:val="000000" w:themeColor="text1" w:themeShade="FF" w:themeTint="FF"/>
            <w:sz w:val="24"/>
            <w:szCs w:val="24"/>
          </w:rPr>
          <w:t>Table: Graduate Attribute and Personal Development Skills and the Associated Skills and Competencies</w:t>
        </w:r>
      </w:hyperlink>
    </w:p>
    <w:p w:rsidRPr="2030048C" w:rsidP="2030048C">
      <w:pPr>
        <w:ind w:left="0"/>
        <w:rPr>
          <w:rFonts w:ascii="Arial" w:eastAsia="Arial" w:hAnsi="Arial" w:cs="Arial"/>
          <w:color w:val="000000" w:themeColor="text1" w:themeShade="FF" w:themeTint="FF"/>
          <w:sz w:val="24"/>
          <w:szCs w:val="24"/>
        </w:rPr>
      </w:pPr>
      <w:hyperlink r:id="rId18" w:history="1">
        <w:r w:rsidRPr="2030048C">
          <w:rPr>
            <w:rFonts w:ascii="Arial" w:eastAsia="Arial" w:hAnsi="Arial" w:cs="Arial"/>
            <w:color w:val="000000" w:themeColor="text1" w:themeShade="FF" w:themeTint="FF"/>
            <w:sz w:val="24"/>
            <w:szCs w:val="24"/>
          </w:rPr>
          <w:t>Figure: KU Graduate Attributes</w:t>
        </w:r>
      </w:hyperlink>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(Honours) Civil Engineering – Integrated Degree Apprenticeship is aimed at apprentices who wish to study Civil Engineering to Honours Degree level through the five-year Degree Apprenticeship Scheme. The programme embraces recent developments in higher education and industry and the curriculum and teaching benefits from the research interests of the academic staff. The programme is accredited by the Joint Board of Moderation (JBM) and has been designed in accordance with the IfATE Standard ST0417 and associated KSBs. </w:t>
      </w:r>
    </w:p>
    <w:p w:rsidRPr="2030048C" w:rsidP="2030048C">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is offered as a five-year Integrated Degree Apprenticeship programme (60 months) plus 6-8 months for completion of the Individual Technical Report and End Point Assessment for those in Civil Engineering-related employment, sponsored by the employers. The programme comprises 18 modules (12 modules of 15 credits + 6 modules of 30 credits) spanning from level 4 to level 6 utilising a minimum of 20% of the apprenticeship time over the main 5-year period of study (60 months) during which 330 credits (17 modules) would be completed followed by Gateway and The Individual Technical Report &amp; End Point Assessment (1 work-based module – 30 credits) (an additional 6-8 months). The taught commitment is typically one-day per week educational programme at Kingston University for each of the five years of the programme, and addition to some pre-advertised block release for activities such as Site visits, fieldtrips and other project-based work. Hours associated with module assessments are also included within the minimum 20% off-the-job training, and these can be spread out throughout the main academic calendar (i.e., late September to end May) around workplace commitments.</w:t>
      </w:r>
    </w:p>
    <w:p w:rsidRPr="2030048C" w:rsidP="2030048C">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Support is tailored to the needs of the Degree Apprentices, including employer liaison prior to the commencement of training (e.g., on-boarding and induction); bespoken tutorials and Tripartite Review Meetings during the 60 months of core-training; and guidance and support in the completion of the Gateway Process and preparation to sit final End Point Assessment.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three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module assessment results and feedback, discussion, and review during Tripartite meetings, and – following the main training period – the Gateway meeting. All forms of monitoring will be uploaded to and reviewed using the University’s Aptem platform.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hyperlink r:id="rId19" w:history="1">
        <w:r w:rsidRPr="2030048C">
          <w:rPr>
            <w:rFonts w:ascii="Arial" w:eastAsia="Arial" w:hAnsi="Arial" w:cs="Arial"/>
            <w:color w:val="000000" w:themeColor="text1" w:themeShade="FF" w:themeTint="FF"/>
            <w:sz w:val="24"/>
            <w:szCs w:val="24"/>
          </w:rPr>
          <w:t>Figure: </w:t>
        </w:r>
        <w:r w:rsidRPr="2030048C">
          <w:rPr>
            <w:rFonts w:ascii="Arial" w:eastAsia="Arial" w:hAnsi="Arial" w:cs="Arial"/>
            <w:color w:val="000000" w:themeColor="text1" w:themeShade="FF" w:themeTint="FF"/>
            <w:sz w:val="24"/>
            <w:szCs w:val="24"/>
          </w:rPr>
          <w:t>Outline Programme Structure</w:t>
        </w:r>
      </w:hyperlink>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hyperlink r:id="rId20" w:history="1">
        <w:r w:rsidRPr="2030048C">
          <w:rPr>
            <w:rFonts w:ascii="Arial" w:eastAsia="Arial" w:hAnsi="Arial" w:cs="Arial"/>
            <w:color w:val="000000" w:themeColor="text1" w:themeShade="FF" w:themeTint="FF"/>
            <w:sz w:val="24"/>
            <w:szCs w:val="24"/>
          </w:rPr>
          <w:t>Figure: Learner Journey</w:t>
        </w:r>
      </w:hyperlink>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your Apprenticeship Journey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course at this point who have successfully completed 120 credits at level 4 or above are eligible for the award of Certificate of Higher Education in Civil Engineering.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Professional Skills in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at this point who have successfully completed 120 credits at level 5 or above are eligible for the award of Diploma of Higher Education in Civil Engineering.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Technical Report &amp; 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Apprentices exiting the programme at this point who have successfully completed 60 credits at level 6 are eligible for the award of BEng Civil Engineering.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BEng (Hons) Civil Engineering – Integrated Degree Apprenticeship course has been designed, considering the Kingston University Curriculum Design Principles, to help develop Apprentices into professional graduates that are thoughtful, creative, resilient, proactive and globally aware independent, equipping them to be lifelong learners.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Overarching principles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learners on the course are working to develop in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however, the principles of regenerative design, intervention which has societal benefit, and sustainable development are reflected in the learning outcomes, and it underpins all that we teach and the way we encourage learners to approach their own learning in a reflective way seeking to find themselves as individuals.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 The apprentice should, as far as practicable, be empowered to take control of their learning but be supported strongly through the process. It follows that as the apprentice progresses through the levels the emphasis will be from lecturer-led to apprentice-led work though lectures will feature at all levels of the programme.  In delivering on this principle, much of the teaching related to knowledge and understanding will be focused on simulated real-life study and projects in which apprentices will be led through the materials and required to develop their skills through the tasks set. Field trips, Laboratory work and site visits are therefore key components of the strategy and support sessions aimed at skills development are an important part of the delivery strategy. </w:t>
      </w:r>
    </w:p>
    <w:p w:rsidRPr="2030048C" w:rsidP="2030048C">
      <w:pPr>
        <w:rPr>
          <w:rFonts w:ascii="Arial" w:eastAsia="Arial" w:hAnsi="Arial" w:cs="Arial"/>
          <w:sz w:val="24"/>
          <w:szCs w:val="24"/>
        </w:rPr>
      </w:pPr>
      <w:r w:rsidRPr="2030048C">
        <w:rPr>
          <w:rFonts w:ascii="Arial" w:eastAsia="Arial" w:hAnsi="Arial" w:cs="Arial"/>
          <w:b/>
          <w:bCs/>
          <w:sz w:val="24"/>
          <w:szCs w:val="24"/>
        </w:rPr>
        <w:t>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This course is aimed at apprentices in Civil Engineering-related employment who wish to compliment and develop their employability knowledge and skills portfolio. The Civil Engineering 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examination revision, residential fieldwork. The remaining maximum 80% involves on-the-job training and experiential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Final Individual Technical Report and End Point assessment work-based module is comprised of two components: a report (component 1) and a presentation with questioning (Component 2). The aim of the Work-Based Project (WP) is to ensure that the apprentice’s work meets the needs of the employer, is relevant to their role, and addresses the relevant KSBs and themes for assessment method 1. The report must cover the JBM’s design thread requirements in full. The WP title, terms of reference and initial project plan will be agreed by Kingston University (the EPAO) at Gateway before the apprentice can start the WP. The actual WP report and presentation with questioning is undertaken after the apprentice has gone through the Gateway process.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apprentice’s Manager/Mentor will typically support the Apprentice in their choice WP. The Apprentice will be expected to carry out initial background research to inform the WP title, the outline proposal, and their initial project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Teaching &amp;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Lectures are used to impart key information and will normally be followed up by tutorials and workshops which provide opportunities for problem-based learning (PBL), project-based learning (PjBL), flipped classrooms and game learning via a range of in-class activities including for instance scenario analysis, role-play and simulations. </w:t>
      </w:r>
    </w:p>
    <w:p w:rsidRPr="2030048C" w:rsidP="2030048C">
      <w:pPr>
        <w:jc w:val="both"/>
        <w:rPr>
          <w:rFonts w:ascii="Arial" w:eastAsia="Arial" w:hAnsi="Arial" w:cs="Arial"/>
          <w:sz w:val="24"/>
          <w:szCs w:val="24"/>
        </w:rPr>
      </w:pPr>
      <w:r w:rsidRPr="2030048C">
        <w:rPr>
          <w:rFonts w:ascii="Arial" w:eastAsia="Arial" w:hAnsi="Arial" w:cs="Arial"/>
          <w:sz w:val="24"/>
          <w:szCs w:val="24"/>
        </w:rPr>
        <w:t>Module guides set out clear expectations for guided independent learning. Apprentices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discussion boards and interactive teaching packages. It will also deliver teaching material such as lecture notes/presentations, problems set and worked examples to reinforce the Apprentices learning and helps them to understand how construction elements are put together. This helps support an inclusive approach as apprentices can access learning material at their convenience and work through it at their own pace with the opportunity to pause and rewind as they wish. Teaching may be augmented by on-line discussion boards to aid understanding. We recognise that an ability to be comfortable with a range of digital media is important to employability skills and effective learning. Apprentices also need to be computer literate and able to operate industry standard computer packages.</w:t>
      </w:r>
    </w:p>
    <w:p w:rsidRPr="2030048C" w:rsidP="2030048C">
      <w:pPr>
        <w:jc w:val="both"/>
        <w:rPr>
          <w:rFonts w:ascii="Arial" w:eastAsia="Arial" w:hAnsi="Arial" w:cs="Arial"/>
          <w:sz w:val="24"/>
          <w:szCs w:val="24"/>
        </w:rPr>
      </w:pPr>
      <w:r w:rsidRPr="2030048C">
        <w:rPr>
          <w:rFonts w:ascii="Arial" w:eastAsia="Arial" w:hAnsi="Arial" w:cs="Arial"/>
          <w:b/>
          <w:bCs/>
          <w:sz w:val="24"/>
          <w:szCs w:val="24"/>
        </w:rPr>
        <w:t>Development of Independent learning through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learning, teaching and assessment strategy of the course is aimed at supporting progression in curriculum content and skills development through the levels of study. At level 4 there is a clear structure and guidance for apprentices’ learning with an emphasis on the acquisition of fundamental engineering knowledge and skills (Mathematics and IT in CE4024 Mathematics &amp; Engineering Analytics), practical skills (CE4025 Introduction to Mechanics &amp; Materials) and, (CE4011 Fluid and Soil Mechanics) and, the initial development of key employability skills (EG4031 Navigate).  This provides a solid foundation for apprentices to undertake a deeper study in a specific engineering discipline at level 5. At level 5 there will be an increased expectation of independent study, supported by a reduced emphasis on the use of traditional lectures. At level 6 apprentices will be expected to take greater ownership of their independent study with academics taking on more of a supervisory role of apprentice independent study, this is exemplified in the group and individual project modules CE6027 Integrated Group Design Project and, CE6025 Individual Research Project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Integrated and interdisciplinary collaboration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apprentices within the School of Built Environment &amp; Geography at Kingston University take two (15 credit) common modules at Level 4 namely (EG4031 Navigate) and (EG4022 Sustainability for Practice). This provides opportunity to study and work with apprentices/students from different disciplines is a distinct feature of the course at Kingston University. In EG4031 Navigate apprentices will be able to demonstrate the ability to plan their personal development and to use graduate attributes to explore problem within the specific discipline context. In EG4022 Sustainability for Professional Practice, apprentices able to focus on the 21st century environmental and climate change challenges at the same time to unleash the interconnectedness among topics such as United Nation Sustainable Development Goals (UNSDGs), Net Zero Carbon and Circular Economy whilst identify approaches to problem-solving in a real-world scenarios.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(EG4031 Navigate) module is extended into the Level 5 in (EG5017 Explore) where apprentices will be able to demonstrate the ability to critically evaluate their own personal development through reflection on their progress and goals, and at the same time demonstrate the use of graduate attributes to explore problems beyond the discipline.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at Level 5, apprentices will have the opportunity to collaborate with apprentices from Construction engineering management, Building Surveying and Quantity Surveying in (CE5020 Digital Construction &amp; Building Information Modelling (BIM)) where apprentices have the opportunity for interdisciplinary Project-based Learning (PjBL) applying BIM and data management techniques and present solutions to small scale engineering/project challenges. This will give the apprentices an opportunity to talk about how they have worked with an external company on a construction engineering problem as part of a team, when they apply for an industrial placement.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(EG5017 Explore) module is then further scaffolds into the Level 6 in (AX6001 Apply) where apprentices will be able to demonstrate the ability to set goals and take action relating to their development and future plans, and at the same time demonstrate the use of their graduate attributes to explore complex challenges beyond the University.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at Level 6, apprentices will continue to have collaboration with apprentices from Other Engineering discipline in (AX6001) where apprentices develop further their interdisciplinary group working through Project-based Learning (PjBL) demonstrating the range of skills underpin successful project delivery client care, market analysis, business context and risk management. Apprentices will have opportunities to develop interpersonal skills to facilitate collaborative working practices including conflict management and avoidance techniques.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Focus on active learning and enhancing apprentice engagement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These require apprentices to prepare for, and participate in, the classroom activities, rather than passively listening to the lecturer. Apprentices are expected to engage with the guided learning to prepare for these teaching sessions and consolidate their learning after the session through preparation of assessments. These interactive sessions also provide apprentices with opportunities for peer learning, group work and presentation practice.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Examples of interactive sessions can be found in all CE modules at all levels where apprentices are offered a highly interactive enquiry-based environment to solve realistic civil engineering problems. In these sessions the lecturer facilitates learning by supporting apprentices in creating their own knowledge and understanding. Lecturers may also introduce and summarise key concepts with short mini-lectures. Project based Learning (PBjL) is introduced in EG4017 Sustainability for Professional  Practice and developed further in CE5020 Digital Construction &amp; Building Information Modelling (BIM). These collaborative activities encourage apprentices to draw on their own set of experiences and cultural backgrounds when tackling real world challenges.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use of Future Skills and Graduate Attributes through EG4031 Navigate, EG5017 Explore and AX6001 Apply within the discipline context where at Level 4 these are linked to the Learning to Learn where apprentices identify their learning targets from Induction to graduation; beyond the discipline at Level 5 which includes an inter-departmental team sustainability design project; beyond the university at Level 6 which is to foster a bridge to the wider professional communities of practice for the apprentice’s subject discipline.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Active and collaborative learning is also incorporated in traditional lectures which may have question-and-answer sessions, brief Apprentice discussions, Mentimeter activities integrated into the lecture. These methods ensure that valuable contact time is focussed on the application and critical analysis of knowledge and the development of key skills such as problem solving, communication, and group-work.  </w:t>
      </w:r>
    </w:p>
    <w:p w:rsidRPr="2030048C" w:rsidP="2030048C">
      <w:pPr>
        <w:jc w:val="both"/>
        <w:rPr>
          <w:rFonts w:ascii="Arial" w:eastAsia="Arial" w:hAnsi="Arial" w:cs="Arial"/>
          <w:sz w:val="24"/>
          <w:szCs w:val="24"/>
        </w:rPr>
      </w:pPr>
      <w:r w:rsidRPr="2030048C">
        <w:rPr>
          <w:rFonts w:ascii="Arial" w:eastAsia="Arial" w:hAnsi="Arial" w:cs="Arial"/>
          <w:sz w:val="24"/>
          <w:szCs w:val="24"/>
        </w:rPr>
        <w:t>The high percentage use of active learning sessions in the teaching hours is aimed at improving apprentice engagement, creativity, confidence and self-reliance.  The course endeavours to further secure apprentice engagement by making apprentices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apprentice course representative work, peer mentoring, civic engagement and outreach opportunities.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Hands-on Practical 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 hand on practical experience in workshops and laboratories is fundamental in developing practical skills as well as enhancing data collection and analysis skills. Apprentices will have the opportunity to work in laboratories and workshops as well as field trips in most of their modules. Practical work is closely related to the taught content to provide context for the theoretical work.  At level 4 apprentices are introduced to basic skills of measuring, interpreting and recording experimental data and how to apply these in a laboratory environment and present the results with (CE4025</w:t>
      </w:r>
      <w:r w:rsidRPr="2030048C">
        <w:rPr>
          <w:rFonts w:ascii="Arial" w:eastAsia="Arial" w:hAnsi="Arial" w:cs="Arial"/>
          <w:b/>
          <w:bCs/>
          <w:sz w:val="24"/>
          <w:szCs w:val="24"/>
        </w:rPr>
        <w:t xml:space="preserve"> </w:t>
      </w:r>
      <w:r w:rsidRPr="2030048C">
        <w:rPr>
          <w:rFonts w:ascii="Arial" w:eastAsia="Arial" w:hAnsi="Arial" w:cs="Arial"/>
          <w:sz w:val="24"/>
          <w:szCs w:val="24"/>
        </w:rPr>
        <w:t>Introduction to Mechanics &amp; Materials) and (CE4011 Fluid and Soil Mechanics). Complying with Health &amp; Safety requirements when in the lab is paramount. At level 5 the focus is on further testing and measurement of a variety of parameters in support of more level 5 concepts delivered in lectures with CE5021 (Hydraulics and water Engineering), CE5023 (Structural Analysis &amp; Design 2) and CE5024 (Geotechnics &amp; Materials). This is delivered through supervised practical sessions with experiment protocols. At level 6 apprentices and expected to select and apply requisite practical skills in their own independent research work in (CE6025 the Individual Research Project) module.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Academics are committed to practical fieldwork, encouraging Apprentices to acquire fieldwork skills, including health and safety, group coordination and management.  This programme includes a number of field excursions, modules that include field work include: CE5022 (Engineering Geodesy and GIS), CE6021 (Geotechnical &amp; Environmental Engineering). Site visits are arranged for groups of apprentices and students whenever possible (levels 5 &amp; 6) and are important in understanding the practical application of their academic work, as well as an appreciation of the apprentices’ career development prospects.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Practice and research-informed teaching</w:t>
      </w:r>
    </w:p>
    <w:p w:rsidRPr="2030048C" w:rsidP="2030048C">
      <w:pPr>
        <w:jc w:val="both"/>
        <w:rPr>
          <w:rFonts w:ascii="Arial" w:eastAsia="Arial" w:hAnsi="Arial" w:cs="Arial"/>
          <w:sz w:val="24"/>
          <w:szCs w:val="24"/>
        </w:rPr>
      </w:pPr>
      <w:r w:rsidRPr="2030048C">
        <w:rPr>
          <w:rFonts w:ascii="Arial" w:eastAsia="Arial" w:hAnsi="Arial" w:cs="Arial"/>
          <w:sz w:val="24"/>
          <w:szCs w:val="24"/>
        </w:rPr>
        <w:t>Embedded in our teaching and learning practice are two major shifts in pedagogy, specifically, our teaching is both practice and research informed.</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formal arrangement exists with a selection of engineers in full-time practice who generously give their time to support the department through the work of the </w:t>
      </w:r>
      <w:r w:rsidRPr="2030048C">
        <w:rPr>
          <w:rFonts w:ascii="Arial" w:eastAsia="Arial" w:hAnsi="Arial" w:cs="Arial"/>
          <w:b/>
          <w:bCs/>
          <w:sz w:val="24"/>
          <w:szCs w:val="24"/>
        </w:rPr>
        <w:t>Industrial Advisory Board</w:t>
      </w:r>
      <w:r w:rsidRPr="2030048C">
        <w:rPr>
          <w:rFonts w:ascii="Arial" w:eastAsia="Arial" w:hAnsi="Arial" w:cs="Arial"/>
          <w:sz w:val="24"/>
          <w:szCs w:val="24"/>
        </w:rPr>
        <w:t>. This Board meets with senior School staff two times per year to discuss policy and course structure in the department. Some deliverables of the IAB include guest lectures (structures, H&amp;S, sustainability, professional practice), course design (e.g. embedding JBM threads, relevance of skills to employability and career development), research (co-supervision, subjects, KTPs),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Apprentices take full advantage by being in continuous contact with the IAB members via mentoring by them, presenting their work to them, placements, applying for vacancies, IAB award, etc. including the yearly award for the best learner by the Institution of Civil Engineers.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(CE6027 integrated Group Design Project) subject areas such as structures under complex loadings, Finite Elements, pre-stressed concrete, slope stabilisation, deep foundations, etc. are introduced (e.g. CE6020 (Advanced Structural Modelling &amp; Design).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Apprentices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Apprentices to determine, distinguish and present appropriate evidence in an argument, which is of great value to employers.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Academic staff are also engaged widely with the research and development of ideas in teaching and learning in Higher Education and into wider pedagogic issues which will then feed through to support learning in lectures and other forms of Apprentice engagement the programme, both formal and extra-curricular. As parts of pedagogic research computing resources in fundamental subjects such as Maths and Mechanics/Physics have been developed and been embedded into VLE system. The use of an Electronic Voting System in the classroom for summative and formative assessments is another example of pedagogic research undertaken by the teaching staff.  This reflective, evidence-based professional practice by academic staff serves as exemplar to Apprentices in their future professional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Development of Graduate Attributes and Future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progressive development of a range key Graduate Attributes is another feature of the course as exemplified in teamwork and development of Future Skills are effectively scaffold from Level 4 to 6 in (</w:t>
      </w:r>
      <w:r w:rsidRPr="2030048C">
        <w:rPr>
          <w:rFonts w:ascii="Arial" w:eastAsia="Arial" w:hAnsi="Arial" w:cs="Arial"/>
          <w:sz w:val="24"/>
          <w:szCs w:val="24"/>
        </w:rPr>
        <w:t xml:space="preserve">EG4031 Navigate, EG5017 Explore and </w:t>
      </w:r>
      <w:r w:rsidRPr="2030048C">
        <w:rPr>
          <w:rFonts w:ascii="Arial" w:eastAsia="Arial" w:hAnsi="Arial" w:cs="Arial"/>
          <w:sz w:val="24"/>
          <w:szCs w:val="24"/>
        </w:rPr>
        <w:t xml:space="preserve">AX6001 </w:t>
      </w:r>
      <w:r w:rsidRPr="2030048C">
        <w:rPr>
          <w:rFonts w:ascii="Arial" w:eastAsia="Arial" w:hAnsi="Arial" w:cs="Arial"/>
          <w:sz w:val="24"/>
          <w:szCs w:val="24"/>
        </w:rPr>
        <w:t>Apply),</w:t>
      </w:r>
      <w:r w:rsidRPr="2030048C">
        <w:rPr>
          <w:rFonts w:ascii="Arial" w:eastAsia="Arial" w:hAnsi="Arial" w:cs="Arial"/>
          <w:b/>
          <w:bCs/>
          <w:sz w:val="24"/>
          <w:szCs w:val="24"/>
        </w:rPr>
        <w:t xml:space="preserve"> </w:t>
      </w:r>
      <w:r w:rsidRPr="2030048C">
        <w:rPr>
          <w:rFonts w:ascii="Arial" w:eastAsia="Arial" w:hAnsi="Arial" w:cs="Arial"/>
          <w:sz w:val="24"/>
          <w:szCs w:val="24"/>
        </w:rPr>
        <w:t>where</w:t>
      </w:r>
      <w:r w:rsidRPr="2030048C">
        <w:rPr>
          <w:rFonts w:ascii="Arial" w:eastAsia="Arial" w:hAnsi="Arial" w:cs="Arial"/>
          <w:sz w:val="24"/>
          <w:szCs w:val="24"/>
        </w:rPr>
        <w:t xml:space="preserve"> Apprentices able to plan their personal development through learning journey, critically evaluate their own personal development through reflection and to set goals and take action relating to their development.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complement the development of Graduate Attributes and Future Skills within the curriculum, Personal tutors will encourage Apprentices to engage in a range of extra-curricular activities such as </w:t>
      </w:r>
      <w:r w:rsidRPr="2030048C">
        <w:rPr>
          <w:rFonts w:ascii="Arial" w:eastAsia="Arial" w:hAnsi="Arial" w:cs="Arial"/>
          <w:sz w:val="24"/>
          <w:szCs w:val="24"/>
        </w:rPr>
        <w:t>apprentice representation</w:t>
      </w:r>
      <w:r w:rsidRPr="2030048C">
        <w:rPr>
          <w:rFonts w:ascii="Arial" w:eastAsia="Arial" w:hAnsi="Arial" w:cs="Arial"/>
          <w:sz w:val="24"/>
          <w:szCs w:val="24"/>
        </w:rPr>
        <w:t>, p</w:t>
      </w:r>
      <w:r w:rsidRPr="2030048C">
        <w:rPr>
          <w:rFonts w:ascii="Arial" w:eastAsia="Arial" w:hAnsi="Arial" w:cs="Arial"/>
          <w:sz w:val="24"/>
          <w:szCs w:val="24"/>
        </w:rPr>
        <w:t>art-time work,</w:t>
      </w:r>
      <w:r w:rsidRPr="2030048C">
        <w:rPr>
          <w:rFonts w:ascii="Arial" w:eastAsia="Arial" w:hAnsi="Arial" w:cs="Arial"/>
          <w:color w:val="000000"/>
          <w:sz w:val="24"/>
          <w:szCs w:val="24"/>
          <w:shd w:val="clear" w:color="auto" w:fill="FFFFFF"/>
        </w:rPr>
        <w:t xml:space="preserve"> sports and recreation, society membership, leadership and mentoring; cultural and creative activities;  </w:t>
      </w:r>
      <w:r w:rsidRPr="2030048C">
        <w:rPr>
          <w:rFonts w:ascii="Arial" w:eastAsia="Arial" w:hAnsi="Arial" w:cs="Arial"/>
          <w:sz w:val="24"/>
          <w:szCs w:val="24"/>
        </w:rPr>
        <w:t>academic and professional collaboration; placement activity; </w:t>
      </w:r>
      <w:r w:rsidRPr="2030048C">
        <w:rPr>
          <w:rFonts w:ascii="Arial" w:eastAsia="Arial" w:hAnsi="Arial" w:cs="Arial"/>
          <w:color w:val="000000"/>
          <w:sz w:val="24"/>
          <w:szCs w:val="24"/>
          <w:shd w:val="clear" w:color="auto" w:fill="FFFFFF"/>
        </w:rPr>
        <w:t>enterprise activity; Careers events and opportunities.</w:t>
      </w:r>
      <w:r w:rsidRPr="2030048C">
        <w:rPr>
          <w:rFonts w:ascii="Arial" w:eastAsia="Arial" w:hAnsi="Arial" w:cs="Arial"/>
          <w:sz w:val="24"/>
          <w:szCs w:val="24"/>
        </w:rPr>
        <w:t>  Activity in these areas is recognised by the university’s Kingston Award Scheme. Careers and Employability Service offers a range of events, including spotlight on engineering networking activities where employers and alumni are invited on campus to talk about career pathways.</w:t>
      </w:r>
    </w:p>
    <w:p w:rsidRPr="2030048C" w:rsidP="2030048C">
      <w:pPr>
        <w:jc w:val="both"/>
        <w:rPr>
          <w:rFonts w:ascii="Arial" w:eastAsia="Arial" w:hAnsi="Arial" w:cs="Arial"/>
          <w:sz w:val="24"/>
          <w:szCs w:val="24"/>
        </w:rPr>
      </w:pPr>
      <w:r w:rsidRPr="2030048C">
        <w:rPr>
          <w:rFonts w:ascii="Arial" w:eastAsia="Arial" w:hAnsi="Arial" w:cs="Arial"/>
          <w:b/>
          <w:bCs/>
          <w:sz w:val="24"/>
          <w:szCs w:val="24"/>
        </w:rPr>
        <w:t>Assessment for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strategy has been designed to help Apprentices to learn and prepare them for continuous career development, rather than just a tool to measure their learning. The assessment is designed to be authentic, inclusive and transparent. The assessment tasks focus on the real-world engineering activities that enhance Apprentices’ employability. All CE module assessments are related to real world problems.  For example, in CE5022 (surveying and setting out of a road), CE5023 (design of elements in steel and concrete of framed buildings) and CE6024 (Modelling of Road Junctions for traffic growth) All modules have explicit formative assessments to provide opportunities for practice and the chance to use ‘feed forward’ to help apprentices improve their work in subsequent summative assessments.  For example, in CE5024, formative assessment is provided in the form of quick, regular and detailed feedback on laboratory reports facilitating improvement of these reports throughout the academic year.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higher-level problem-solving skills. This is reflected in the decreasing use of assessment by examination at levels 4, 5 to level 6. The use of a well-balanced range of assessment methods is key part to of our inclusive assessment strategy.  Group and teamwork assessment is instrumental in developing and recognising this important employability skill.  For example, Apprentices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5 &amp; 6.  This demonstrates progressive skills and competences development – thus preparing employment ready graduates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 xml:space="preserve">Inclusive Teaching and Assessment Practices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Apprentices participate in Student Voice Committees and School Education Committee provide opportunities for apprentices to make suggestion on how to develop a more inclusive curriculum by considering the specific circumstances of the apprenticeship body. The variety of teaching activities also takes account of the apprentice’s different learning preferences and experiences and there is a careful balance of individual and group-based activities.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learners have an opportunity to interrogate the criteria.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the programme as a whole, the following components are used in the assessment of the various modules: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Practical exercises: to assess Apprentices’ understanding and technical competence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Individual and group-based case project work: to assess ability to understand requirements, to provide solutions to realistic problems and to interact and work effectively with others as a contributing member of a team. The outcomes can be: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Written reports, where the ability to communicate the relevant concepts, methods, results and conclusions effectively will be assessed.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Oral presentations, where the ability to summarise accurately and communicate clearly the key points from the work in a brief presentation will be assessed.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Video, which may replicate features of oral presentations but allows advance preparation away from the audience (which may suit some Apprentices better).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Multiple choice or short answer questions: to assess competence in basic techniques and understanding of concepts.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Long answer structured questions in coursework assignments: to assess ability to apply learned techniques to solve simple to medium problems and which may include a limited investigative component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Long answer structured questions in end-of-module examinations: to assess overall breadth of knowledge and technical competence to provide concise and accurate solutions within restricted time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Project: The individual project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Individual and group practical laboratory reports</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Posters: The group project is presented in posters to and assessed by academic staff as well as members of the industrial advisory board.</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Model building: in the first year, where Apprentices make a structure with little wooden sticks and tape e.g., a small bridge and load it to breaking point.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Short in-class tests and on-line assessments: throughout a number of modules.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the beginning of each academic year deadlines for submission and feedback are planned carefully and a full </w:t>
      </w:r>
      <w:r w:rsidRPr="2030048C">
        <w:rPr>
          <w:rFonts w:ascii="Arial" w:eastAsia="Arial" w:hAnsi="Arial" w:cs="Arial"/>
          <w:b/>
          <w:bCs/>
          <w:sz w:val="24"/>
          <w:szCs w:val="24"/>
        </w:rPr>
        <w:t>assessment timeline calendar</w:t>
      </w:r>
      <w:r w:rsidRPr="2030048C">
        <w:rPr>
          <w:rFonts w:ascii="Arial" w:eastAsia="Arial" w:hAnsi="Arial" w:cs="Arial"/>
          <w:sz w:val="24"/>
          <w:szCs w:val="24"/>
        </w:rPr>
        <w:t xml:space="preserve"> is constructed to ensure that there is no summative assessment bunching and thus Apprentice workloads are managed.  In addition, this calendar is then presented to the cohorts for consultation before it is formally fixed. The calendar then offers a synchronised and coherent delivery of the programme that is clearly understood by staff and Apprentices who can appreciate the integrated nature of their learning emanating from various module assessments.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Engineering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knowledge and understanding of the engineering principles underpinning civil engineering.  Learning-by-doing is implemented through all modules via tutorials, lab sessions, field courses, real world course works, etc.</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CE5021</w:t>
      </w:r>
      <w:r w:rsidRPr="2030048C">
        <w:rPr>
          <w:rFonts w:ascii="Arial" w:eastAsia="Arial" w:hAnsi="Arial" w:cs="Arial"/>
          <w:sz w:val="24"/>
          <w:szCs w:val="24"/>
        </w:rPr>
        <w:t xml:space="preserve"> &amp; </w:t>
      </w:r>
      <w:r w:rsidRPr="2030048C">
        <w:rPr>
          <w:rFonts w:ascii="Arial" w:eastAsia="Arial" w:hAnsi="Arial" w:cs="Arial"/>
          <w:b/>
          <w:bCs/>
          <w:sz w:val="24"/>
          <w:szCs w:val="24"/>
        </w:rPr>
        <w:t>CE5024</w:t>
      </w:r>
      <w:r w:rsidRPr="2030048C">
        <w:rPr>
          <w:rFonts w:ascii="Arial" w:eastAsia="Arial" w:hAnsi="Arial" w:cs="Arial"/>
          <w:sz w:val="24"/>
          <w:szCs w:val="24"/>
        </w:rPr>
        <w:t xml:space="preserve"> enables Apprentices to apply the principles of fluid mechanics and soils learned at level 4 (CE4011)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CE5023</w:t>
      </w:r>
      <w:r w:rsidRPr="2030048C">
        <w:rPr>
          <w:rFonts w:ascii="Arial" w:eastAsia="Arial" w:hAnsi="Arial" w:cs="Arial"/>
          <w:sz w:val="24"/>
          <w:szCs w:val="24"/>
        </w:rPr>
        <w:t xml:space="preserve"> is a core module covering the subjects of structures and design.  It builds and expands essential concepts of Engineering Mechanics, Structures and Materials learned at level 4 (CE4025 &amp; CE4023) into the structural analysis and design of elements in construction materials such as steel, concrete, masonry and timber.  Modern codes of practice such as the Eurocodes are introduced and used throughout, and Apprentices become familiar with the design process from conception to detailed design and drawings.  Material behaviour under loading is carefully examined at lectures and hands-on sessions and further verified by testing specimens in the lab and producing reports.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CE5022</w:t>
      </w:r>
      <w:r w:rsidRPr="2030048C">
        <w:rPr>
          <w:rFonts w:ascii="Arial" w:eastAsia="Arial" w:hAnsi="Arial" w:cs="Arial"/>
          <w:sz w:val="24"/>
          <w:szCs w:val="24"/>
        </w:rPr>
        <w:t xml:space="preserve"> is a core module offering a fundamental skill expected of any civil engineer.  This module exposes Apprentices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EG5017</w:t>
      </w:r>
      <w:r w:rsidRPr="2030048C">
        <w:rPr>
          <w:rFonts w:ascii="Arial" w:eastAsia="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2030048C">
        <w:rPr>
          <w:rFonts w:ascii="Arial" w:eastAsia="Arial" w:hAnsi="Arial" w:cs="Arial"/>
          <w:b/>
          <w:bCs/>
          <w:sz w:val="24"/>
          <w:szCs w:val="24"/>
        </w:rPr>
        <w:t>Independent learning</w:t>
      </w:r>
      <w:r w:rsidRPr="2030048C">
        <w:rPr>
          <w:rFonts w:ascii="Arial" w:eastAsia="Arial" w:hAnsi="Arial" w:cs="Arial"/>
          <w:sz w:val="24"/>
          <w:szCs w:val="24"/>
        </w:rPr>
        <w:t xml:space="preserve"> is expected to increase at this level as Apprentices have acquired the skills required to achieve it via guidance and support (e.g., SASC) with resources as well as peer mentoring (e.g., level 4 Apprentices mentored by level 5 &amp; 6 Apprentices) at earlier years.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CE6020 </w:t>
      </w:r>
      <w:r w:rsidRPr="2030048C">
        <w:rPr>
          <w:rFonts w:ascii="Arial" w:eastAsia="Arial" w:hAnsi="Arial" w:cs="Arial"/>
          <w:sz w:val="24"/>
          <w:szCs w:val="24"/>
        </w:rPr>
        <w:t xml:space="preserve">is a core module in structures and design building on knowledge and skills attained at level 5 (CE5023).  Apprentices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structural problems.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 CE6021</w:t>
      </w:r>
      <w:r w:rsidRPr="2030048C">
        <w:rPr>
          <w:rFonts w:ascii="Arial" w:eastAsia="Arial" w:hAnsi="Arial" w:cs="Arial"/>
          <w:sz w:val="24"/>
          <w:szCs w:val="24"/>
        </w:rPr>
        <w:t>, the geotechnics part of the module includes slope stability, deep foundations and elements of coastal engineering.  Opportunities to link structures with geotechnics i.e., the soil and foundations supporting them are provided throughout.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CE6024</w:t>
      </w:r>
      <w:r w:rsidRPr="2030048C">
        <w:rPr>
          <w:rFonts w:ascii="Arial" w:eastAsia="Arial" w:hAnsi="Arial" w:cs="Arial"/>
          <w:sz w:val="24"/>
          <w:szCs w:val="24"/>
        </w:rPr>
        <w:t xml:space="preserve"> is a core module in sustainable infrastructure that follows elements learned at level 5. Sustainable solutions to problems in infrastructure such transportation modelling and highway design are covered.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w:t>
      </w:r>
      <w:r w:rsidRPr="2030048C">
        <w:rPr>
          <w:rFonts w:ascii="Arial" w:eastAsia="Arial" w:hAnsi="Arial" w:cs="Arial"/>
          <w:b/>
          <w:bCs/>
          <w:sz w:val="24"/>
          <w:szCs w:val="24"/>
        </w:rPr>
        <w:t>CE6027</w:t>
      </w:r>
      <w:r w:rsidRPr="2030048C">
        <w:rPr>
          <w:rFonts w:ascii="Arial" w:eastAsia="Arial" w:hAnsi="Arial" w:cs="Arial"/>
          <w:sz w:val="24"/>
          <w:szCs w:val="24"/>
        </w:rPr>
        <w:t xml:space="preserve"> module, Apprentices are taught about various key aspects of project planning and management before engaging in a group project based in the Civil Engineering field and drawing on knowledge and experience gained previously. It will consist of substantial Project-Based Learning (PjBL) driven by the Apprentices with supervisor/facilitators encourage professionalism and leadership in a group activity support. It provides Apprentices with an understanding of the process of project planning and an opportunity to put theory into practice in a virtual industrial project. The module encourages professionalism and leadership in a collaborative group setting in which sustainability and ethics</w:t>
      </w:r>
      <w:r w:rsidRPr="2030048C">
        <w:rPr>
          <w:rFonts w:ascii="Arial" w:eastAsia="Arial" w:hAnsi="Arial" w:cs="Arial"/>
          <w:i/>
          <w:iCs/>
          <w:sz w:val="24"/>
          <w:szCs w:val="24"/>
        </w:rPr>
        <w:t xml:space="preserve"> </w:t>
      </w:r>
      <w:r w:rsidRPr="2030048C">
        <w:rPr>
          <w:rFonts w:ascii="Arial" w:eastAsia="Arial" w:hAnsi="Arial" w:cs="Arial"/>
          <w:sz w:val="24"/>
          <w:szCs w:val="24"/>
        </w:rPr>
        <w:t>are embedded</w:t>
      </w:r>
      <w:r w:rsidRPr="2030048C">
        <w:rPr>
          <w:rFonts w:ascii="Arial" w:eastAsia="Arial" w:hAnsi="Arial" w:cs="Arial"/>
          <w:i/>
          <w:iCs/>
          <w:sz w:val="24"/>
          <w:szCs w:val="24"/>
        </w:rPr>
        <w:t xml:space="preserve"> </w:t>
      </w:r>
      <w:r w:rsidRPr="2030048C">
        <w:rPr>
          <w:rFonts w:ascii="Arial" w:eastAsia="Arial" w:hAnsi="Arial" w:cs="Arial"/>
          <w:sz w:val="24"/>
          <w:szCs w:val="24"/>
        </w:rPr>
        <w:t>within the project context.</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Apprentices are supported by: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their programme structure and progression and to ensure Learners’ support(s)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Degree Apprenticeship Skills Coach to support the apprentice throughout their Apprenticeship Journey and to assist in keeping the apprentice on track through quarterly Tripartite Review Meetings and monitoring of Learning Logs and KSB Trackers.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to provide academic support.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module team for each module to provide academic support.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 Personal Tutor programme which ensures that apprentices have a designated personal tutor for the duration of their studies to foster a close and engaged academic relationship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An Apprentice Mentoring scheme.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Future Skills and Employability Team to provide apprentices with advice on career development and progression, future job applications, updating CVs and mock-interview opportunities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apprentices on IT and the use of software packages.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CANVAS– a versatile on-line interactive learning environment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A range of Study Skills and Academic Skills support services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and accommodation.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A faculty-based Student Support Team that provides advice and guidance on mitigation and student issues.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A Disability, Dyslexia and Wellbeing student support centre.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A Students' Union who run a range of clubs and societies and student advice services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A student society who organises discipline related social events  </w:t>
      </w:r>
    </w:p>
    <w:p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Academic Success Centre is a one-to-one drop-in Study Skills session for learners every weekday. Help is available on a range of academic skills from writing reports, note-taking, to exam revision, referencing, programming and mathematical skills. </w:t>
      </w:r>
    </w:p>
    <w:p w:rsidRPr="2030048C" w:rsidP="2030048C">
      <w:pPr>
        <w:rPr>
          <w:rFonts w:ascii="Arial" w:eastAsia="Arial" w:hAnsi="Arial" w:cs="Arial"/>
          <w:sz w:val="24"/>
          <w:szCs w:val="24"/>
        </w:rPr>
      </w:pPr>
      <w:r w:rsidRPr="2030048C">
        <w:rPr>
          <w:rFonts w:ascii="Arial" w:eastAsia="Arial" w:hAnsi="Arial" w:cs="Arial"/>
          <w:sz w:val="24"/>
          <w:szCs w:val="24"/>
        </w:rPr>
        <w:t>Personal Tutor Scheme (PTS) </w:t>
      </w:r>
    </w:p>
    <w:p w:rsidRPr="2030048C" w:rsidP="2030048C">
      <w:pPr>
        <w:rPr>
          <w:rFonts w:ascii="Arial" w:eastAsia="Arial" w:hAnsi="Arial" w:cs="Arial"/>
          <w:sz w:val="24"/>
          <w:szCs w:val="24"/>
        </w:rPr>
      </w:pPr>
      <w:r w:rsidRPr="2030048C">
        <w:rPr>
          <w:rFonts w:ascii="Arial" w:eastAsia="Arial" w:hAnsi="Arial" w:cs="Arial"/>
          <w:sz w:val="24"/>
          <w:szCs w:val="24"/>
        </w:rPr>
        <w:t>The following provides the aims and structure of the Personal Tutor Scheme (PTS). It is intended that the PTS is embedded within the modular provision of the BEng.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Aims </w:t>
      </w:r>
    </w:p>
    <w:p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To build a rapport between staff and learners and contribute to personalising their experience acting as a central pillar of the pastoral care system </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support apprentices in the development of their academic skills providing appropriate advice and guidance to learners throughout their time at Kingston, while monitoring their progress, helping to identify individual needs and referring Apprentices to other University services as appropriate </w:t>
      </w:r>
    </w:p>
    <w:p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To help apprentices to develop the ability to be self-reliant and confident self-reflective learners who use feedback to their best advantage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To encourage Apprentices to reflect on how their learning relates to a wider context and their personal career progression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Allocation of Personal Tutors </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Personal tutors will be allocated during induction week </w:t>
      </w:r>
    </w:p>
    <w:p w:rsidRPr="2030048C" w:rsidP="2030048C">
      <w:pPr>
        <w:numPr>
          <w:ilvl w:val="0"/>
          <w:numId w:val="46"/>
        </w:numPr>
        <w:ind w:left="720" w:hanging="360"/>
        <w:jc w:val="left"/>
        <w:rPr>
          <w:rFonts w:ascii="Arial" w:eastAsia="Arial" w:hAnsi="Arial" w:cs="Arial"/>
          <w:sz w:val="24"/>
          <w:szCs w:val="24"/>
        </w:rPr>
      </w:pPr>
      <w:r w:rsidRPr="2030048C">
        <w:rPr>
          <w:rFonts w:ascii="Arial" w:eastAsia="Arial" w:hAnsi="Arial" w:cs="Arial"/>
          <w:sz w:val="24"/>
          <w:szCs w:val="24"/>
        </w:rPr>
        <w:t>Tutors will be allocated on a course basis where appropriate with Apprentice numbers being equally divided amongst the staff within the school </w:t>
      </w:r>
    </w:p>
    <w:p w:rsidRPr="2030048C" w:rsidP="2030048C">
      <w:pPr>
        <w:numPr>
          <w:ilvl w:val="0"/>
          <w:numId w:val="47"/>
        </w:numPr>
        <w:ind w:left="720" w:hanging="360"/>
        <w:jc w:val="left"/>
        <w:rPr>
          <w:rFonts w:ascii="Arial" w:eastAsia="Arial" w:hAnsi="Arial" w:cs="Arial"/>
          <w:sz w:val="24"/>
          <w:szCs w:val="24"/>
        </w:rPr>
      </w:pPr>
      <w:r w:rsidRPr="2030048C">
        <w:rPr>
          <w:rFonts w:ascii="Arial" w:eastAsia="Arial" w:hAnsi="Arial" w:cs="Arial"/>
          <w:sz w:val="24"/>
          <w:szCs w:val="24"/>
        </w:rPr>
        <w:t>Apprentices will keep the same tutor throughout their course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w:t>
      </w:r>
    </w:p>
    <w:p w:rsidRPr="2030048C" w:rsidP="2030048C">
      <w:pPr>
        <w:rPr>
          <w:rFonts w:ascii="Arial" w:eastAsia="Arial" w:hAnsi="Arial" w:cs="Arial"/>
          <w:sz w:val="24"/>
          <w:szCs w:val="24"/>
        </w:rPr>
      </w:pPr>
      <w:r w:rsidRPr="2030048C">
        <w:rPr>
          <w:rFonts w:ascii="Arial" w:eastAsia="Arial" w:hAnsi="Arial" w:cs="Arial"/>
          <w:sz w:val="24"/>
          <w:szCs w:val="24"/>
        </w:rPr>
        <w:t>The PTS is embedded in core curriculum modules at each level of undergraduate study: </w:t>
      </w:r>
    </w:p>
    <w:p w:rsidRPr="2030048C" w:rsidP="2030048C">
      <w:pPr>
        <w:rPr>
          <w:rFonts w:ascii="Arial" w:eastAsia="Arial" w:hAnsi="Arial" w:cs="Arial"/>
          <w:sz w:val="24"/>
          <w:szCs w:val="24"/>
        </w:rPr>
      </w:pPr>
      <w:r w:rsidRPr="2030048C">
        <w:rPr>
          <w:rFonts w:ascii="Arial" w:eastAsia="Arial" w:hAnsi="Arial" w:cs="Arial"/>
          <w:sz w:val="24"/>
          <w:szCs w:val="24"/>
        </w:rPr>
        <w:t>Level 4 – EG4015 Navigate  </w:t>
      </w:r>
    </w:p>
    <w:p w:rsidRPr="2030048C" w:rsidP="2030048C">
      <w:pPr>
        <w:rPr>
          <w:rFonts w:ascii="Arial" w:eastAsia="Arial" w:hAnsi="Arial" w:cs="Arial"/>
          <w:sz w:val="24"/>
          <w:szCs w:val="24"/>
        </w:rPr>
      </w:pPr>
      <w:r w:rsidRPr="2030048C">
        <w:rPr>
          <w:rFonts w:ascii="Arial" w:eastAsia="Arial" w:hAnsi="Arial" w:cs="Arial"/>
          <w:sz w:val="24"/>
          <w:szCs w:val="24"/>
        </w:rPr>
        <w:t>Level 5 – EG5017 Explore </w:t>
      </w:r>
    </w:p>
    <w:p w:rsidRPr="2030048C" w:rsidP="2030048C">
      <w:pPr>
        <w:rPr>
          <w:rFonts w:ascii="Arial" w:eastAsia="Arial" w:hAnsi="Arial" w:cs="Arial"/>
          <w:sz w:val="24"/>
          <w:szCs w:val="24"/>
        </w:rPr>
      </w:pPr>
      <w:r w:rsidRPr="2030048C">
        <w:rPr>
          <w:rFonts w:ascii="Arial" w:eastAsia="Arial" w:hAnsi="Arial" w:cs="Arial"/>
          <w:sz w:val="24"/>
          <w:szCs w:val="24"/>
        </w:rPr>
        <w:t>Level 6 – EG6026 Apply  </w:t>
      </w:r>
    </w:p>
    <w:p w:rsidRPr="2030048C" w:rsidP="2030048C">
      <w:pPr>
        <w:rPr>
          <w:rFonts w:ascii="Arial" w:eastAsia="Arial" w:hAnsi="Arial" w:cs="Arial"/>
          <w:sz w:val="24"/>
          <w:szCs w:val="24"/>
        </w:rPr>
      </w:pPr>
      <w:r w:rsidRPr="2030048C">
        <w:rPr>
          <w:rFonts w:ascii="Arial" w:eastAsia="Arial" w:hAnsi="Arial" w:cs="Arial"/>
          <w:sz w:val="24"/>
          <w:szCs w:val="24"/>
        </w:rPr>
        <w:t>There are specific aims and outcomes for each level that will be assessed, as the PTS is a progressive and cumulative scheme building on the skills developed in previous levels.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pStyle w:val="p"/>
        <w:spacing w:before="0" w:after="0"/>
        <w:ind w:left="360" w:right="0"/>
        <w:jc w:val="both"/>
        <w:rPr>
          <w:rFonts w:ascii="Arial" w:eastAsia="Arial" w:hAnsi="Arial" w:cs="Arial"/>
          <w:sz w:val="22"/>
          <w:szCs w:val="22"/>
        </w:rPr>
      </w:pP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Annual review and development</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Student evaluation</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Quality is also assured by the requirement for professional body (JBM) reaccreditation, generally at a five year interval.</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8"/>
        <w:gridCol w:w="175"/>
        <w:gridCol w:w="443"/>
        <w:gridCol w:w="450"/>
        <w:gridCol w:w="443"/>
        <w:gridCol w:w="443"/>
        <w:gridCol w:w="443"/>
        <w:gridCol w:w="450"/>
        <w:gridCol w:w="443"/>
        <w:gridCol w:w="443"/>
        <w:gridCol w:w="450"/>
        <w:gridCol w:w="443"/>
        <w:gridCol w:w="443"/>
        <w:gridCol w:w="443"/>
        <w:gridCol w:w="1"/>
        <w:gridCol w:w="442"/>
        <w:gridCol w:w="443"/>
        <w:gridCol w:w="443"/>
        <w:gridCol w:w="443"/>
        <w:gridCol w:w="443"/>
        <w:gridCol w:w="4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jc w:val="both"/>
        <w:rPr>
          <w:rFonts w:ascii="Arial" w:eastAsia="Arial" w:hAnsi="Arial" w:cs="Arial"/>
          <w:sz w:val="24"/>
          <w:szCs w:val="24"/>
        </w:rPr>
      </w:pPr>
      <w:hyperlink r:id="rId21" w:history="1">
        <w:r w:rsidRPr="2030048C">
          <w:rPr>
            <w:rFonts w:ascii="Arial" w:eastAsia="Arial" w:hAnsi="Arial" w:cs="Arial"/>
            <w:b/>
            <w:bCs/>
            <w:sz w:val="24"/>
            <w:szCs w:val="24"/>
          </w:rPr>
          <w:t>Additional Details (Required for JBM Accreditation)</w:t>
        </w:r>
      </w:hyperlink>
    </w:p>
    <w:p w:rsidRPr="2030048C" w:rsidP="2030048C">
      <w:pPr>
        <w:pStyle w:val="Heading2"/>
        <w:outlineLvl w:val="1"/>
        <w:rPr>
          <w:rFonts w:ascii="Arial" w:eastAsia="Arial" w:hAnsi="Arial" w:cs="Arial"/>
          <w:sz w:val="24"/>
          <w:szCs w:val="24"/>
        </w:rPr>
      </w:pPr>
      <w:hyperlink r:id="rId22" w:history="1">
        <w:r w:rsidRPr="2030048C">
          <w:rPr>
            <w:rFonts w:ascii="Arial" w:eastAsia="Arial" w:hAnsi="Arial" w:cs="Arial"/>
            <w:b/>
            <w:bCs/>
            <w:i/>
            <w:iCs/>
            <w:color w:val="211F1F"/>
            <w:sz w:val="24"/>
            <w:szCs w:val="24"/>
            <w:lang w:val="en-US" w:eastAsia="en-US"/>
          </w:rPr>
          <w:t>Mapping against the Civil Engineer Level 6 Apprenticeship Standard</w:t>
        </w:r>
      </w:hyperlink>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4989B28"/>
    <w:multiLevelType w:val="hybridMultilevel"/>
    <w:tmpl w:val="74989B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4989B29"/>
    <w:multiLevelType w:val="hybridMultilevel"/>
    <w:tmpl w:val="74989B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4989B2A"/>
    <w:multiLevelType w:val="hybridMultilevel"/>
    <w:tmpl w:val="74989B2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4989B2B"/>
    <w:multiLevelType w:val="hybridMultilevel"/>
    <w:tmpl w:val="74989B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gc.org.uk/" TargetMode="External"/><Relationship Id="rId18" Type="http://schemas.openxmlformats.org/officeDocument/2006/relationships/hyperlink" Target="https://kingstonuniversity.sharepoint.com/:b:/r/teams/DofCSCM/Shared%20Documents/DA%20Integrated%20course%20for%20CMMP%202%20(May%202025)/Figure%201%20Graduate%20attributes.pdf?csf=1&amp;web=1&amp;e=nI0uol" TargetMode="External"/><Relationship Id="rId8" Type="http://schemas.openxmlformats.org/officeDocument/2006/relationships/image" Target="media/image1.png"/><Relationship Id="rId21" Type="http://schemas.openxmlformats.org/officeDocument/2006/relationships/hyperlink" Target="https://kingstonuniversity.sharepoint.com/:b:/r/teams/DofCSCM/Shared%20Documents/DA%20Integrated%20course%20for%20CMMP%202%20(May%202025)/Additional%20Details%20for%20JBM%20accreditation.pdf?csf=1&amp;web=1&amp;e=b8Tdhp" TargetMode="External"/><Relationship Id="rId3" Type="http://schemas.openxmlformats.org/officeDocument/2006/relationships/fontTable" Target="fontTable.xml"/><Relationship Id="rId12" Type="http://schemas.openxmlformats.org/officeDocument/2006/relationships/hyperlink" Target="https://www.instituteforapprenticeships.org/apprenticeship-standards/civil-engineer-degree-v1-0" TargetMode="External"/><Relationship Id="rId17" Type="http://schemas.openxmlformats.org/officeDocument/2006/relationships/hyperlink" Target="https://kingstonuniversity.sharepoint.com/:b:/r/teams/DofCSCM/Shared%20Documents/DA%20Integrated%20course%20for%20CMMP%202%20(May%202025)/GRADUA~1.PDF?csf=1&amp;web=1&amp;e=2lquPb" TargetMode="External"/><Relationship Id="rId25"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hyperlink" Target="https://kingstonuniversity.sharepoint.com/:b:/r/teams/DofCSCM/Shared%20Documents/DA%20Integrated%20course%20for%20CMMP%202%20(May%202025)/figure%20Learner%20Journey.pdf?csf=1&amp;web=1&amp;e=eY0OwA" TargetMode="External"/><Relationship Id="rId1" Type="http://schemas.openxmlformats.org/officeDocument/2006/relationships/settings" Target="settings.xml"/><Relationship Id="rId11" Type="http://schemas.openxmlformats.org/officeDocument/2006/relationships/hyperlink" Target="https://www.kingston.ac.uk/degree-apprenticeships/" TargetMode="External"/><Relationship Id="rId24" Type="http://schemas.openxmlformats.org/officeDocument/2006/relationships/numbering" Target="numbering.xml"/><Relationship Id="rId6" Type="http://schemas.openxmlformats.org/officeDocument/2006/relationships/customXml" Target="../customXml/item3.xml"/><Relationship Id="rId15" Type="http://schemas.openxmlformats.org/officeDocument/2006/relationships/hyperlink" Target="https://www.officeforstudents.org.uk/media/53821cbf-5779-4380-bf2a-aa8f5c53ecd4/sector-recognised-standards.pdf%22" TargetMode="External"/><Relationship Id="rId23" Type="http://schemas.openxmlformats.org/officeDocument/2006/relationships/theme" Target="theme/theme1.xml"/><Relationship Id="rId10" Type="http://schemas.openxmlformats.org/officeDocument/2006/relationships/hyperlink" Target="https://www.instituteforapprenticeships.org/apprentices/" TargetMode="External"/><Relationship Id="rId19" Type="http://schemas.openxmlformats.org/officeDocument/2006/relationships/hyperlink" Target="https://kingstonuniversity.sharepoint.com/:b:/r/teams/DofCSCM/Shared%20Documents/DA%20Integrated%20course%20for%20CMMP%202%20(May%202025)/Figure%20Outlined%20Structure.pdf?csf=1&amp;web=1&amp;e=OM8zbE" TargetMode="External"/><Relationship Id="rId14" Type="http://schemas.openxmlformats.org/officeDocument/2006/relationships/hyperlink" Target="https://www.engc.org.uk/ahep" TargetMode="External"/><Relationship Id="rId22" Type="http://schemas.openxmlformats.org/officeDocument/2006/relationships/hyperlink" Target="https://kingstonuniversity.sharepoint.com/:b:/r/teams/DofCSCM/Shared%20Documents/DA%20Integrated%20course%20for%20CMMP%202%20(May%202025)/Mapping%20against%20the%20Civil%20Engineer%20Level%206%20Apprenticeship%20Standard.pdf?csf=1&amp;web=1&amp;e=AQo8h3" TargetMode="External"/><Relationship Id="rId4" Type="http://schemas.openxmlformats.org/officeDocument/2006/relationships/customXml" Target="../customXml/item1.xml"/><Relationship Id="rId9" Type="http://schemas.openxmlformats.org/officeDocument/2006/relationships/hyperlink" Target="https://jb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7B44869-1758-41E3-978B-4AF921545DF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