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Aircraft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12/12/2013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Aerospace and Aircraft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Cardiff and Vale College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Aircraft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UFAIE1AIE20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4Q58Site codes:V - Cardiff and Vale College (ICAT)</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Cardiff and Vale College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Cardiff and Vale College (ICAT)</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 (at all delivery sites)</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CellSpacing w:w="15" w:type="dxa"/>
              <w:tblCellMar>
                <w:top w:w="15" w:type="dxa"/>
                <w:left w:w="15" w:type="dxa"/>
                <w:bottom w:w="15" w:type="dxa"/>
                <w:right w:w="15" w:type="dxa"/>
              </w:tblCellMar>
            </w:tblPr>
            <w:tblGrid>
              <w:gridCol w:w="1560"/>
              <w:gridCol w:w="4114"/>
            </w:tblGrid>
            <w:tr>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Entry Requirements:  </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standard entry qualifications for the programme are: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96 UCAS tariff points from three A-levels to include Mathematics and Science (General Studies and native language A-levels are not accepted) </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96 UCAS tariff points from a BTEC Extended Diploma in an engineering subject) to include Further Mathematics for Engineering Technicians. BTECs in computing or technology subjects are not accepted. </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HE access course with 60 credits at level 3 in an engineering subject.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 </w:t>
                  </w:r>
                </w:p>
                <w:p w:rsidRPr="2030048C" w:rsidP="2030048C">
                  <w:pPr>
                    <w:numPr>
                      <w:ilvl w:val="0"/>
                      <w:numId w:val="15"/>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Five GCSEs grade A*to C which must include English Language, Mathematics and a science or technology subject. Native language GCSEs, Key Skills Level 2 Communication and Application of Numbers, and IGCSE English as a Second Language are not accepted.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with military and/or civil aircraft maintenance engineering experience or who have completed vocational aircraft engineering courses will be considered on an individual basis.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International English Language Testing System (IELTS) score of 6.0 (min 5.5 in Speaking, Writing, Listening and Reading) or equivalent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Calibri" w:eastAsia="Calibri" w:hAnsi="Calibri" w:cs="Calibri"/>
                <w:b w:val="0"/>
                <w:bCs w:val="0"/>
                <w:color w:val="000000"/>
                <w:sz w:val="22"/>
                <w:szCs w:val="22"/>
                <w:shd w:val="clear" w:color="auto" w:fill="FFFFFF"/>
              </w:rPr>
              <w:t>RAeS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follow the engineering council rules (maximum of 30 credits compensation and no major individual or group-based projects to be compensated).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Default"/>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general aims of the course are:</w:t>
      </w:r>
    </w:p>
    <w:p w:rsidRPr="2030048C" w:rsidP="2030048C">
      <w:pPr>
        <w:pStyle w:val="Default"/>
        <w:ind w:left="57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6"/>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Produce aircraft maintenance engineering graduates who are equipped with the technical knowledge, understanding and skills; and the personal and professional qualities to obtain employment and succeed in the aircraft maintenance industry. </w:t>
      </w:r>
    </w:p>
    <w:p w:rsidRPr="2030048C" w:rsidP="2030048C">
      <w:pPr>
        <w:pStyle w:val="ListParagraph"/>
        <w:numPr>
          <w:ilvl w:val="0"/>
          <w:numId w:val="16"/>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Provide students with the academic and professional knowledge and skills that will enable them to manage their own personal and professional development when they leave the university; and to encourage them to be proactive in the furtherance of their careers and development of themselves. </w:t>
      </w:r>
    </w:p>
    <w:p w:rsidRPr="2030048C" w:rsidP="2030048C">
      <w:pPr>
        <w:pStyle w:val="ListParagraph"/>
        <w:numPr>
          <w:ilvl w:val="0"/>
          <w:numId w:val="16"/>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Produce the aircraft maintenance engineering managers of the future; managers who will look on Kingston University as having played a major part in their success. </w:t>
      </w:r>
    </w:p>
    <w:p w:rsidRPr="2030048C" w:rsidP="2030048C">
      <w:pPr>
        <w:pStyle w:val="ListParagraph"/>
        <w:numPr>
          <w:ilvl w:val="0"/>
          <w:numId w:val="16"/>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prepare graduates with an ability to solve design problems and the technical skills needed to realise these solutions in the fields of aircraft operation and maintenance.</w:t>
      </w:r>
    </w:p>
    <w:p w:rsidRPr="2030048C" w:rsidP="2030048C">
      <w:pPr>
        <w:pStyle w:val="ListParagraph"/>
        <w:numPr>
          <w:ilvl w:val="0"/>
          <w:numId w:val="16"/>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To align with the current edition of the UK Standard for Professional Engineering Competence (UK-SPEC) and to meet the academic requirements for Incorporated Engineering (IEng) Membership of the Royal Aeronautical Society (RAes) by ensuring that the course is accredited by that body. </w:t>
      </w:r>
    </w:p>
    <w:p w:rsidRPr="2030048C" w:rsidP="2030048C">
      <w:pPr>
        <w:pStyle w:val="ListParagraph"/>
        <w:numPr>
          <w:ilvl w:val="0"/>
          <w:numId w:val="16"/>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To furnish graduates with a firm grasp of sustainability, ethics, risks, legal obligations and economics.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their knowledge and understanding of essential facts, concepts, theories and principles associated with aircraft engineering and the underpinning mathematics and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evaluate and analyse problems; identify and investigate possible solutions and make sound decisions regarding the solution to adopt and/or the course of action to be taken.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Perform aircraft maintenance activities correctly and safely, identify defects in aircraft structures, systems, equipment, components and hardware; and determine the best solution and/or course of action to be taken.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the subject matter of the European Aviation Safety Agency (EASA) Part-66 module syllabuses for the Category B1.1 aircraft maintenance engineering licence.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Locate, collect, collate, interpret and critically evaluate arguments, assumptions, abstract concepts and data (that may be incomplete), and use it to make judgements, and to frame appropriate questions to help achieve a solution.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Investigate and analyse the operation of aircraft equipment and systems to determine and/or confirm serviceability and for defect diagnosis.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clear understanding of the legal obligations pertaining to licensed aircraft maintenance engineers, the rules and regulations under which they must work and the need to always consider flight safety.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clearly and succinctly orally, graphically and in writing having due regard for the receiving audience and intellectual property rights.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Make effective use of aircraft maintenance manuals and other industry related publications and complete documentation associated with the maintenance of aircraft and airworthiness.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Discuss the topics of ethics and sustainability in relation to aircraft maintenance engineering and the decisions made by licensed engineers.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Manage their own personal and professional development by identifying gaps and/or shortfalls in their knowledge, understanding and skills and taking the necessary action to rectify it.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office, engineering and aircraft industry related IT equipment and software confidently and effectively.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business methods to assess the economic and financial aspects of air transport and/or engineering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independently or as part of a team to initiate, investigate, plan, manage and drive projects to a successful conclusion and produce the associated documentation (proposals, plans, reports, presentations).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Students complete all three years of the programme at an EASA/CAA part-147 approved training organisation.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The course is offered in full-time mode because of the desire to maintain the link with aviation authority approved aircraft maintenance engineering training and the benefits this affords students who successfully complete the course.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Entry to the programme is at year one with direct entry to year two only being considered under exceptional circumstances. Those wishing to obtain the benefits of completing an aviation authority approved course must complete the full programme irrespective of previous experience and or qualifications.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Note: As per </w:t>
      </w:r>
      <w:hyperlink r:id="rId11" w:anchor="blockid21000" w:tgtFrame="_blank" w:history="1">
        <w:r w:rsidRPr="2030048C">
          <w:rPr>
            <w:rFonts w:ascii="Arial" w:eastAsia="Arial" w:hAnsi="Arial" w:cs="Arial"/>
            <w:color w:val="000000"/>
            <w:sz w:val="22"/>
            <w:szCs w:val="22"/>
          </w:rPr>
          <w:t>GR5</w:t>
        </w:r>
      </w:hyperlink>
      <w:r w:rsidRPr="2030048C">
        <w:rPr>
          <w:rFonts w:ascii="Arial" w:eastAsia="Arial" w:hAnsi="Arial" w:cs="Arial"/>
          <w:color w:val="000000"/>
          <w:sz w:val="22"/>
          <w:szCs w:val="22"/>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Aircraft Engineering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Aircraft Engineering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Aerodynamics and Aircraft Electronic and Digital Systems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Electrical Engineering Fundamentals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Mathematics and Physics for Practitioner Engineers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with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AE4016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Aircraft Engineering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Aircraft Materials, Hardware and Maintenance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Aircraft Structures and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Explore with Professional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Practical Engineering Skills and CAD</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AE5003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Aircraft Engineering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Air Transport Economics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AE6601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Aircraft Maintenance Operations (Group Design Solution)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Apply with Aircraft Maintenance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 – I (Ref: IEng)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Turbine Engines, Propellers and Thermodynamics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 out core principles relating to Course and Credit Structure (including Module delivery Structure and Pattern, and Learning Hours and Learning Formats); Curriculum Design (inclusion of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A dedicated Undergraduate Course Administrator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An induction programme and study skills sessions at the start of each academic year  </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Academic Success Centre is a one-to-one drop-in Study Skills session for students every weekday. Help is available on a range of academic skills from writing reports, and note-taking, to exam revision, referencing, programming and mathematical skills.  </w:t>
      </w:r>
    </w:p>
    <w:p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4"/>
          <w:szCs w:val="24"/>
        </w:rPr>
        <w:t>VLE – a versatile on-line interactive intranet and learning environment accessible both on-site and remotely.  </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Course Representative scheme   </w:t>
      </w:r>
    </w:p>
    <w:p w:rsidRPr="2030048C" w:rsidP="2030048C">
      <w:pPr>
        <w:numPr>
          <w:ilvl w:val="0"/>
          <w:numId w:val="38"/>
        </w:numPr>
        <w:ind w:left="720" w:hanging="360"/>
        <w:jc w:val="left"/>
        <w:rPr>
          <w:rFonts w:ascii="Arial" w:eastAsia="Arial" w:hAnsi="Arial" w:cs="Arial"/>
          <w:sz w:val="24"/>
          <w:szCs w:val="24"/>
        </w:rPr>
      </w:pPr>
      <w:r w:rsidRPr="2030048C">
        <w:rPr>
          <w:rFonts w:ascii="Arial" w:eastAsia="Arial" w:hAnsi="Arial" w:cs="Arial"/>
          <w:sz w:val="24"/>
          <w:szCs w:val="24"/>
        </w:rPr>
        <w:t>Talent A University Careers and Employability Service   </w:t>
      </w:r>
    </w:p>
    <w:p w:rsidRPr="2030048C" w:rsidP="2030048C">
      <w:pPr>
        <w:numPr>
          <w:ilvl w:val="0"/>
          <w:numId w:val="39"/>
        </w:numPr>
        <w:ind w:left="720" w:hanging="360"/>
        <w:jc w:val="left"/>
        <w:rPr>
          <w:rFonts w:ascii="Arial" w:eastAsia="Arial" w:hAnsi="Arial" w:cs="Arial"/>
          <w:sz w:val="24"/>
          <w:szCs w:val="24"/>
        </w:rPr>
      </w:pPr>
      <w:r w:rsidRPr="2030048C">
        <w:rPr>
          <w:rFonts w:ascii="Arial" w:eastAsia="Arial" w:hAnsi="Arial" w:cs="Arial"/>
          <w:sz w:val="24"/>
          <w:szCs w:val="24"/>
        </w:rPr>
        <w:t>Comprehensive University support systems including the provision of advice on finance, regulations, legal matters, accommodation, international student support, disability and equality support.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These include: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numPr>
          <w:ilvl w:val="0"/>
          <w:numId w:val="4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41"/>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42"/>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3D0EBCB8" w:rsidRPr="2030048C" w:rsidP="2030048C">
      <w:pPr>
        <w:numPr>
          <w:ilvl w:val="0"/>
          <w:numId w:val="43"/>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44"/>
        </w:numPr>
        <w:ind w:left="720" w:hanging="360"/>
        <w:jc w:val="left"/>
        <w:rPr>
          <w:rFonts w:ascii="Arial" w:eastAsia="Arial" w:hAnsi="Arial" w:cs="Arial"/>
          <w:sz w:val="24"/>
          <w:szCs w:val="24"/>
        </w:rPr>
      </w:pPr>
      <w:r w:rsidRPr="2030048C">
        <w:rPr>
          <w:rFonts w:ascii="Arial" w:eastAsia="Arial" w:hAnsi="Arial" w:cs="Arial"/>
          <w:sz w:val="24"/>
          <w:szCs w:val="24"/>
        </w:rPr>
        <w:t>Boards of study with student representation </w:t>
      </w:r>
    </w:p>
    <w:p w:rsidR="3D0EBCB8" w:rsidRPr="2030048C" w:rsidP="2030048C">
      <w:pPr>
        <w:numPr>
          <w:ilvl w:val="0"/>
          <w:numId w:val="45"/>
        </w:numPr>
        <w:ind w:left="720" w:hanging="360"/>
        <w:jc w:val="left"/>
        <w:rPr>
          <w:rFonts w:ascii="Arial" w:eastAsia="Arial" w:hAnsi="Arial" w:cs="Arial"/>
          <w:sz w:val="24"/>
          <w:szCs w:val="24"/>
        </w:rPr>
      </w:pPr>
      <w:r w:rsidRPr="2030048C">
        <w:rPr>
          <w:rFonts w:ascii="Arial" w:eastAsia="Arial" w:hAnsi="Arial" w:cs="Arial"/>
          <w:sz w:val="24"/>
          <w:szCs w:val="24"/>
        </w:rPr>
        <w:t>Annual review and development </w:t>
      </w:r>
    </w:p>
    <w:p w:rsidR="3D0EBCB8" w:rsidRPr="2030048C" w:rsidP="2030048C">
      <w:pPr>
        <w:numPr>
          <w:ilvl w:val="0"/>
          <w:numId w:val="46"/>
        </w:numPr>
        <w:ind w:left="720" w:hanging="360"/>
        <w:jc w:val="left"/>
        <w:rPr>
          <w:rFonts w:ascii="Arial" w:eastAsia="Arial" w:hAnsi="Arial" w:cs="Arial"/>
          <w:sz w:val="24"/>
          <w:szCs w:val="24"/>
        </w:rPr>
      </w:pPr>
      <w:r w:rsidRPr="2030048C">
        <w:rPr>
          <w:rFonts w:ascii="Arial" w:eastAsia="Arial" w:hAnsi="Arial" w:cs="Arial"/>
          <w:sz w:val="24"/>
          <w:szCs w:val="24"/>
        </w:rPr>
        <w:t>Periodic review undertaken at the subject level </w:t>
      </w:r>
    </w:p>
    <w:p w:rsidR="3D0EBCB8" w:rsidRPr="2030048C" w:rsidP="2030048C">
      <w:pPr>
        <w:numPr>
          <w:ilvl w:val="0"/>
          <w:numId w:val="47"/>
        </w:numPr>
        <w:ind w:left="720" w:hanging="360"/>
        <w:jc w:val="left"/>
        <w:rPr>
          <w:rFonts w:ascii="Arial" w:eastAsia="Arial" w:hAnsi="Arial" w:cs="Arial"/>
          <w:sz w:val="24"/>
          <w:szCs w:val="24"/>
        </w:rPr>
      </w:pPr>
      <w:r w:rsidRPr="2030048C">
        <w:rPr>
          <w:rFonts w:ascii="Arial" w:eastAsia="Arial" w:hAnsi="Arial" w:cs="Arial"/>
          <w:sz w:val="24"/>
          <w:szCs w:val="24"/>
        </w:rPr>
        <w:t>Student evaluation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4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4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4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15"/>
        <w:gridCol w:w="233"/>
        <w:gridCol w:w="589"/>
        <w:gridCol w:w="589"/>
        <w:gridCol w:w="589"/>
        <w:gridCol w:w="589"/>
        <w:gridCol w:w="2"/>
        <w:gridCol w:w="587"/>
        <w:gridCol w:w="589"/>
        <w:gridCol w:w="589"/>
        <w:gridCol w:w="589"/>
        <w:gridCol w:w="4"/>
        <w:gridCol w:w="585"/>
        <w:gridCol w:w="589"/>
        <w:gridCol w:w="589"/>
        <w:gridCol w:w="589"/>
        <w:gridCol w:w="59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AE6601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AE6017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4989B20"/>
    <w:multiLevelType w:val="hybridMultilevel"/>
    <w:tmpl w:val="74989B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4989B21"/>
    <w:multiLevelType w:val="hybridMultilevel"/>
    <w:tmpl w:val="74989B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74989B22"/>
    <w:multiLevelType w:val="hybridMultilevel"/>
    <w:tmpl w:val="74989B2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74989B23"/>
    <w:multiLevelType w:val="hybridMultilevel"/>
    <w:tmpl w:val="74989B2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4989B24"/>
    <w:multiLevelType w:val="hybridMultilevel"/>
    <w:tmpl w:val="74989B2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74989B25"/>
    <w:multiLevelType w:val="hybridMultilevel"/>
    <w:tmpl w:val="74989B2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74989B26"/>
    <w:multiLevelType w:val="hybridMultilevel"/>
    <w:tmpl w:val="74989B2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74989B27"/>
    <w:multiLevelType w:val="hybridMultilevel"/>
    <w:tmpl w:val="74989B2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74989B28"/>
    <w:multiLevelType w:val="hybridMultilevel"/>
    <w:tmpl w:val="74989B2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74989B29"/>
    <w:multiLevelType w:val="hybridMultilevel"/>
    <w:tmpl w:val="74989B2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74989B2A"/>
    <w:multiLevelType w:val="hybridMultilevel"/>
    <w:tmpl w:val="74989B2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Default">
    <w:name w:val="Defaul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D4F81F9-5D7A-4BCA-8243-DE35D77F8B7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