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BEng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Aircraft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12/12/2013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Aerospace and Aircraft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Cardiff and Vale College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BEng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Aircraft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UFAIE1AIE20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4Q58Site codes:V - Cardiff and Vale College (ICAT)</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Cardiff and Vale College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Cardiff and Vale College (ICAT)</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 (at all delivery sites)</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CellSpacing w:w="15" w:type="dxa"/>
              <w:tblCellMar>
                <w:top w:w="15" w:type="dxa"/>
                <w:left w:w="15" w:type="dxa"/>
                <w:bottom w:w="15" w:type="dxa"/>
                <w:right w:w="15" w:type="dxa"/>
              </w:tblCellMar>
            </w:tblPr>
            <w:tblGrid>
              <w:gridCol w:w="1560"/>
              <w:gridCol w:w="4114"/>
            </w:tblGrid>
            <w:tr>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Entry Requirements:  </w:t>
                  </w:r>
                </w:p>
              </w:tc>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standard entry qualifications for the programme are: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96 UCAS tariff points from three A-levels to include Mathematics and Science (General Studies and native language A-levels are not accepted)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96 UCAS tariff points from a BTEC Extended Diploma in an engineering subject) to include Further Mathematics for Engineering Technicians. BTECs in computing or technology subjects are not accepted. </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HE access course with 60 credits at level 3 in an engineering subject.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Five GCSEs grade A*to C which must include English Language, Mathematics and a science or technology subject. Native language GCSEs, Key Skills Level 2 Communication and Application of Numbers, and IGCSE English as a Second Language are not accepted.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military and/or civil aircraft maintenance engineering experience or who have completed vocational aircraft engineering courses will be considered on an individual basis.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International English Language Testing System (IELTS) score of 6.0 (min 5.5 in Speaking, Writing, Listening and Reading) or equivalent is required for those for whom English is not their first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RAeS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follow the engineering council rules (maximum of 30 credits compensation and no major individual or group-based projects to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Default"/>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general aims of the course are:</w:t>
      </w:r>
    </w:p>
    <w:p w:rsidRPr="2030048C" w:rsidP="2030048C">
      <w:pPr>
        <w:pStyle w:val="Default"/>
        <w:ind w:left="57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Produce aircraft maintenance engineering graduates who are equipped with the technical knowledge, understanding and skills; and the personal and professional qualities to obtain employment and succeed in the aircraft maintenance industry.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the academic and professional knowledge and skills that will enable them to manage their own personal and professional development when they leave the university; and to encourage them to be proactive in the furtherance of their careers and development of themselves.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Produce the aircraft maintenance engineering managers of the future; managers who will look on Kingston University as having played a major part in their success.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To prepare graduates with an ability to solve design problems and the technical skills needed to realise these solutions in the fields of aircraft operation and maintenance.</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align with the current edition of the UK Standard for Professional Engineering Competence (UK-SPEC) and to meet the academic requirements for Incorporated Engineering (IEng) Membership of the Royal Aeronautical Society (RAes) by ensuring that the course is accredited by that body. </w:t>
      </w:r>
    </w:p>
    <w:p w:rsidRPr="2030048C" w:rsidP="2030048C">
      <w:pPr>
        <w:pStyle w:val="ListParagraph"/>
        <w:numPr>
          <w:ilvl w:val="0"/>
          <w:numId w:val="16"/>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To furnish graduates with a firm grasp of sustainability, ethics, risks, legal obligations and economics.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their knowledge and understanding of essential facts, concepts, theories and principles associated with aircraft engineering and the underpinning mathematics and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evaluate and analyse problems; identify and investigate possible solutions and make sound decisions regarding the solution to adopt and/or the course of action to be taken.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aircraft maintenance activities correctly and safely, identify defects in aircraft structures, systems, equipment, components and hardware; and determine the best solution and/or course of action to be taken.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the subject matter of the European Aviation Safety Agency (EASA) Part-66 module syllabuses for the Category B1.1 aircraft maintenance engineering licence.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Locate, collect, collate, interpret and critically evaluate arguments, assumptions, abstract concepts and data (that may be incomplete), and use it to make judgements, and to frame appropriate questions to help achieve a 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Investigate and analyse the operation of aircraft equipment and systems to determine and/or confirm serviceability and for defect diagnosis.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clear understanding of the legal obligations pertaining to licensed aircraft maintenance engineers, the rules and regulations under which they must work and the need to always consider flight safety.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clearly and succinctly orally, graphically and in writing having due regard for the receiving audience and intellectual property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Make effective use of aircraft maintenance manuals and other industry related publications and complete documentation associated with the maintenance of aircraft and airworthiness.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Discuss the topics of ethics and sustainability in relation to aircraft maintenance engineering and the decisions made by licensed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their own personal and professional development by identifying gaps and/or shortfalls in their knowledge, understanding and skills and taking the necessary action to rectify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office, engineering and aircraft industry related IT equipment and software confidently and effectively.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business methods to assess the economic and financial aspects of air transport and/or engineering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independently or as part of a team to initiate, investigate, plan, manage and drive projects to a successful conclusion and produce the associated documentation (proposals, plans, reports, presentations).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7"/>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Students complete all three years of the programme at an EASA/CAA part-147 approved training organisation.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The course is offered in full-time mode because of the desire to maintain the link with aviation authority approved aircraft maintenance engineering training and the benefits this affords students who successfully complete the course.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Entry to the programme is at year one with direct entry to year two only being considered under exceptional circumstances. Those wishing to obtain the benefits of completing an aviation authority approved course must complete the full programme irrespective of previous experience and or qualifications.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 xml:space="preserve">Note: As per </w:t>
      </w:r>
      <w:hyperlink r:id="rId11" w:anchor="blockid21000" w:tgtFrame="_blank" w:history="1">
        <w:r w:rsidRPr="2030048C">
          <w:rPr>
            <w:rFonts w:ascii="Arial" w:eastAsia="Arial" w:hAnsi="Arial" w:cs="Arial"/>
            <w:color w:val="000000"/>
            <w:sz w:val="22"/>
            <w:szCs w:val="22"/>
          </w:rPr>
          <w:t>GR5</w:t>
        </w:r>
      </w:hyperlink>
      <w:r w:rsidRPr="2030048C">
        <w:rPr>
          <w:rFonts w:ascii="Arial" w:eastAsia="Arial" w:hAnsi="Arial" w:cs="Arial"/>
          <w:color w:val="000000"/>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BEng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Aircraft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Aircraft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Aerodynamics and Aircraft Electronic and Digital Systems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Electrical Engineering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Mathematics and Physics for Practitioner Engineers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AE4016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BEng (Hons)</w:t>
            </w:r>
            <w:r w:rsidRPr="2030048C">
              <w:rPr>
                <w:rFonts w:ascii="Arial" w:eastAsia="Arial" w:hAnsi="Arial" w:cs="Arial"/>
                <w:b/>
                <w:bCs/>
                <w:lang w:val="en-GB"/>
              </w:rPr>
              <w:t xml:space="preserve"> </w:t>
            </w:r>
            <w:r w:rsidRPr="2030048C">
              <w:rPr>
                <w:rFonts w:ascii="Arial" w:eastAsia="Arial" w:hAnsi="Arial" w:cs="Arial"/>
                <w:b/>
                <w:bCs/>
                <w:lang w:val="en-GB"/>
              </w:rPr>
              <w:t>Aircraft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Aircraft Materials, Hardware and Maintenance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Aircraft Structures and Systems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Explore with Professional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Practical Engineering Skills and CAD</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AE5003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BEng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Aircraft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Air Transport Economics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AE6601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Aircraft Maintenance Operations (Group Design Solution)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Apply with Aircraft Maintenance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 – I (Ref: IEng)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Turbine Engines, Propellers and Thermodynamics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AE6003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 out core principles relating to Course and Credit Structure (including Module delivery Structure and Pattern, and Learning Hours and Learning Formats); Curriculum Design (inclusion of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A dedicated Undergraduate Course Administrator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An induction programme and study skills sessions at the start of each academic year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Academic Success Centre is a one-to-one drop-in Study Skills session for students every weekday. Help is available on a range of academic skills from writing reports, and note-taking, to exam revision, referencing, programming and mathematical skills.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VLE – a versatile on-line interactive intranet and learning environment accessible both on-site and remotely.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Course Representative scheme   </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Talent A University Careers and Employability Service   </w:t>
      </w:r>
    </w:p>
    <w:p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Comprehensive University support systems including the provision of advice on finance, regulations, legal matters, accommodation, international student support, disability and equality support.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These include: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4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41"/>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42"/>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43"/>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44"/>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 </w:t>
      </w:r>
    </w:p>
    <w:p w:rsidR="3D0EBCB8" w:rsidRPr="2030048C" w:rsidP="2030048C">
      <w:pPr>
        <w:numPr>
          <w:ilvl w:val="0"/>
          <w:numId w:val="45"/>
        </w:numPr>
        <w:ind w:left="720" w:hanging="360"/>
        <w:jc w:val="left"/>
        <w:rPr>
          <w:rFonts w:ascii="Arial" w:eastAsia="Arial" w:hAnsi="Arial" w:cs="Arial"/>
          <w:sz w:val="24"/>
          <w:szCs w:val="24"/>
        </w:rPr>
      </w:pPr>
      <w:r w:rsidRPr="2030048C">
        <w:rPr>
          <w:rFonts w:ascii="Arial" w:eastAsia="Arial" w:hAnsi="Arial" w:cs="Arial"/>
          <w:sz w:val="24"/>
          <w:szCs w:val="24"/>
        </w:rPr>
        <w:t>Annual review and development </w:t>
      </w:r>
    </w:p>
    <w:p w:rsidR="3D0EBCB8" w:rsidRPr="2030048C" w:rsidP="2030048C">
      <w:pPr>
        <w:numPr>
          <w:ilvl w:val="0"/>
          <w:numId w:val="46"/>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 </w:t>
      </w:r>
    </w:p>
    <w:p w:rsidR="3D0EBCB8" w:rsidRPr="2030048C" w:rsidP="2030048C">
      <w:pPr>
        <w:numPr>
          <w:ilvl w:val="0"/>
          <w:numId w:val="47"/>
        </w:numPr>
        <w:ind w:left="720" w:hanging="360"/>
        <w:jc w:val="left"/>
        <w:rPr>
          <w:rFonts w:ascii="Arial" w:eastAsia="Arial" w:hAnsi="Arial" w:cs="Arial"/>
          <w:sz w:val="24"/>
          <w:szCs w:val="24"/>
        </w:rPr>
      </w:pPr>
      <w:r w:rsidRPr="2030048C">
        <w:rPr>
          <w:rFonts w:ascii="Arial" w:eastAsia="Arial" w:hAnsi="Arial" w:cs="Arial"/>
          <w:sz w:val="24"/>
          <w:szCs w:val="24"/>
        </w:rPr>
        <w:t>Student evaluation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4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4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4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5"/>
        <w:gridCol w:w="233"/>
        <w:gridCol w:w="589"/>
        <w:gridCol w:w="589"/>
        <w:gridCol w:w="589"/>
        <w:gridCol w:w="589"/>
        <w:gridCol w:w="2"/>
        <w:gridCol w:w="587"/>
        <w:gridCol w:w="589"/>
        <w:gridCol w:w="589"/>
        <w:gridCol w:w="589"/>
        <w:gridCol w:w="4"/>
        <w:gridCol w:w="585"/>
        <w:gridCol w:w="589"/>
        <w:gridCol w:w="589"/>
        <w:gridCol w:w="589"/>
        <w:gridCol w:w="59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AE6601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AE6025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AE6017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E74C3C"/>
          <w:sz w:val="24"/>
          <w:szCs w:val="24"/>
        </w:rPr>
        <w:t>Standard Codes and Definitions for Teaching Blocks</w:t>
      </w:r>
      <w:r w:rsidRPr="2030048C">
        <w:rPr>
          <w:rFonts w:ascii="Arial" w:eastAsia="Arial" w:hAnsi="Arial" w:cs="Arial"/>
          <w:color w:val="E74C3C"/>
          <w:sz w:val="24"/>
          <w:szCs w:val="24"/>
        </w:rPr>
        <w:br/>
      </w:r>
      <w:r w:rsidRPr="2030048C">
        <w:rPr>
          <w:rFonts w:ascii="Arial" w:eastAsia="Arial" w:hAnsi="Arial" w:cs="Arial"/>
          <w:color w:val="E74C3C"/>
          <w:sz w:val="24"/>
          <w:szCs w:val="24"/>
        </w:rPr>
        <w:t>•    TY13</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across Autumn and Spring terms.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TB1</w:t>
      </w:r>
      <w:r w:rsidRPr="2030048C">
        <w:rPr>
          <w:rFonts w:ascii="Arial" w:eastAsia="Arial" w:hAnsi="Arial" w:cs="Arial"/>
          <w:color w:val="E74C3C"/>
          <w:sz w:val="24"/>
          <w:szCs w:val="24"/>
        </w:rPr>
        <w:br/>
      </w:r>
      <w:r w:rsidRPr="2030048C">
        <w:rPr>
          <w:rFonts w:ascii="Arial" w:eastAsia="Arial" w:hAnsi="Arial" w:cs="Arial"/>
          <w:color w:val="E74C3C"/>
          <w:sz w:val="24"/>
          <w:szCs w:val="24"/>
        </w:rPr>
        <w:t>Autumn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29 Sept 2025 – 19 Dec 2025.</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TB2</w:t>
      </w:r>
      <w:r w:rsidRPr="2030048C">
        <w:rPr>
          <w:rFonts w:ascii="Arial" w:eastAsia="Arial" w:hAnsi="Arial" w:cs="Arial"/>
          <w:color w:val="E74C3C"/>
          <w:sz w:val="24"/>
          <w:szCs w:val="24"/>
        </w:rPr>
        <w:br/>
      </w:r>
      <w:r w:rsidRPr="2030048C">
        <w:rPr>
          <w:rFonts w:ascii="Arial" w:eastAsia="Arial" w:hAnsi="Arial" w:cs="Arial"/>
          <w:color w:val="E74C3C"/>
          <w:sz w:val="24"/>
          <w:szCs w:val="24"/>
        </w:rPr>
        <w:t>Spring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12 Jan 2026 – 24 Apr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TB3</w:t>
      </w:r>
      <w:r w:rsidRPr="2030048C">
        <w:rPr>
          <w:rFonts w:ascii="Arial" w:eastAsia="Arial" w:hAnsi="Arial" w:cs="Arial"/>
          <w:color w:val="E74C3C"/>
          <w:sz w:val="24"/>
          <w:szCs w:val="24"/>
        </w:rPr>
        <w:br/>
      </w:r>
      <w:r w:rsidRPr="2030048C">
        <w:rPr>
          <w:rFonts w:ascii="Arial" w:eastAsia="Arial" w:hAnsi="Arial" w:cs="Arial"/>
          <w:color w:val="E74C3C"/>
          <w:sz w:val="24"/>
          <w:szCs w:val="24"/>
        </w:rPr>
        <w:t>Summer term only.</w:t>
      </w:r>
      <w:r w:rsidRPr="2030048C">
        <w:rPr>
          <w:rFonts w:ascii="Arial" w:eastAsia="Arial" w:hAnsi="Arial" w:cs="Arial"/>
          <w:color w:val="E74C3C"/>
          <w:sz w:val="24"/>
          <w:szCs w:val="24"/>
        </w:rPr>
        <w:br/>
      </w:r>
      <w:r w:rsidRPr="2030048C">
        <w:rPr>
          <w:rFonts w:ascii="Arial" w:eastAsia="Arial" w:hAnsi="Arial" w:cs="Arial"/>
          <w:color w:val="E74C3C"/>
          <w:sz w:val="24"/>
          <w:szCs w:val="24"/>
        </w:rPr>
        <w:t>Example: 25 May 2026 – 24 Jul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SPAN</w:t>
      </w:r>
      <w:r w:rsidRPr="2030048C">
        <w:rPr>
          <w:rFonts w:ascii="Arial" w:eastAsia="Arial" w:hAnsi="Arial" w:cs="Arial"/>
          <w:color w:val="E74C3C"/>
          <w:sz w:val="24"/>
          <w:szCs w:val="24"/>
        </w:rPr>
        <w:br/>
      </w:r>
      <w:r w:rsidRPr="2030048C">
        <w:rPr>
          <w:rFonts w:ascii="Arial" w:eastAsia="Arial" w:hAnsi="Arial" w:cs="Arial"/>
          <w:color w:val="E74C3C"/>
          <w:sz w:val="24"/>
          <w:szCs w:val="24"/>
        </w:rPr>
        <w:t>Module spans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    Internally recorded as SPAN1 (first part) and SPAN2 (second part) in SITS.</w:t>
      </w:r>
      <w:r w:rsidRPr="2030048C">
        <w:rPr>
          <w:rFonts w:ascii="Arial" w:eastAsia="Arial" w:hAnsi="Arial" w:cs="Arial"/>
          <w:color w:val="E74C3C"/>
          <w:sz w:val="24"/>
          <w:szCs w:val="24"/>
        </w:rPr>
        <w:br/>
      </w:r>
      <w:r w:rsidRPr="2030048C">
        <w:rPr>
          <w:rFonts w:ascii="Arial" w:eastAsia="Arial" w:hAnsi="Arial" w:cs="Arial"/>
          <w:color w:val="E74C3C"/>
          <w:sz w:val="24"/>
          <w:szCs w:val="24"/>
        </w:rPr>
        <w:t>•    For CMS entries, using SPAN is sufficient as long as the team understands it covers two academic years.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May 2025 – 1 Sept 2026.</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color w:val="E74C3C"/>
          <w:sz w:val="24"/>
          <w:szCs w:val="24"/>
        </w:rPr>
        <w:t>•    ACYR</w:t>
      </w:r>
      <w:r w:rsidRPr="2030048C">
        <w:rPr>
          <w:rFonts w:ascii="Arial" w:eastAsia="Arial" w:hAnsi="Arial" w:cs="Arial"/>
          <w:color w:val="E74C3C"/>
          <w:sz w:val="24"/>
          <w:szCs w:val="24"/>
        </w:rPr>
        <w:br/>
      </w:r>
      <w:r w:rsidRPr="2030048C">
        <w:rPr>
          <w:rFonts w:ascii="Arial" w:eastAsia="Arial" w:hAnsi="Arial" w:cs="Arial"/>
          <w:color w:val="E74C3C"/>
          <w:sz w:val="24"/>
          <w:szCs w:val="24"/>
        </w:rPr>
        <w:t>Module taught within dates that do not fit standard slots.</w:t>
      </w:r>
      <w:r w:rsidRPr="2030048C">
        <w:rPr>
          <w:rFonts w:ascii="Arial" w:eastAsia="Arial" w:hAnsi="Arial" w:cs="Arial"/>
          <w:color w:val="E74C3C"/>
          <w:sz w:val="24"/>
          <w:szCs w:val="24"/>
        </w:rPr>
        <w:br/>
      </w:r>
      <w:r w:rsidRPr="2030048C">
        <w:rPr>
          <w:rFonts w:ascii="Arial" w:eastAsia="Arial" w:hAnsi="Arial" w:cs="Arial"/>
          <w:color w:val="E74C3C"/>
          <w:sz w:val="24"/>
          <w:szCs w:val="24"/>
        </w:rPr>
        <w:t>Example: 1 Aug 2025 – 1 Oct 2025.</w:t>
      </w: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multilevel"/>
    <w:tmpl w:val="74989B0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4989B23"/>
    <w:multiLevelType w:val="hybridMultilevel"/>
    <w:tmpl w:val="74989B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4989B24"/>
    <w:multiLevelType w:val="hybridMultilevel"/>
    <w:tmpl w:val="74989B2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74989B25"/>
    <w:multiLevelType w:val="hybridMultilevel"/>
    <w:tmpl w:val="74989B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74989B26"/>
    <w:multiLevelType w:val="hybridMultilevel"/>
    <w:tmpl w:val="74989B2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74989B27"/>
    <w:multiLevelType w:val="hybridMultilevel"/>
    <w:tmpl w:val="74989B2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
    <w:nsid w:val="74989B28"/>
    <w:multiLevelType w:val="hybridMultilevel"/>
    <w:tmpl w:val="74989B2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6">
    <w:nsid w:val="74989B29"/>
    <w:multiLevelType w:val="hybridMultilevel"/>
    <w:tmpl w:val="74989B2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7">
    <w:nsid w:val="74989B2A"/>
    <w:multiLevelType w:val="hybridMultilevel"/>
    <w:tmpl w:val="74989B2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Default">
    <w:name w:val="Defaul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D4F81F9-5D7A-4BCA-8243-DE35D77F8B7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